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893544186"/>
        <w:docPartObj>
          <w:docPartGallery w:val="Cover Pages"/>
          <w:docPartUnique/>
        </w:docPartObj>
      </w:sdtPr>
      <w:sdtEndPr/>
      <w:sdtContent>
        <w:p w14:paraId="797B3094" w14:textId="77777777" w:rsidR="00873953" w:rsidRDefault="00873953" w:rsidP="00234B18">
          <w:pPr>
            <w:ind w:left="708"/>
          </w:pPr>
          <w:r>
            <w:rPr>
              <w:noProof/>
              <w:lang w:eastAsia="pt-BR"/>
            </w:rPr>
            <mc:AlternateContent>
              <mc:Choice Requires="wps">
                <w:drawing>
                  <wp:anchor distT="0" distB="0" distL="114300" distR="114300" simplePos="0" relativeHeight="251661312" behindDoc="0" locked="0" layoutInCell="0" allowOverlap="1" wp14:anchorId="09111098" wp14:editId="6EB644EC">
                    <wp:simplePos x="0" y="0"/>
                    <wp:positionH relativeFrom="page">
                      <wp:align>left</wp:align>
                    </wp:positionH>
                    <mc:AlternateContent>
                      <mc:Choice Requires="wp14">
                        <wp:positionV relativeFrom="page">
                          <wp14:pctPosVOffset>25000</wp14:pctPosVOffset>
                        </wp:positionV>
                      </mc:Choice>
                      <mc:Fallback>
                        <wp:positionV relativeFrom="page">
                          <wp:posOffset>2672715</wp:posOffset>
                        </wp:positionV>
                      </mc:Fallback>
                    </mc:AlternateContent>
                    <wp:extent cx="6995160" cy="640080"/>
                    <wp:effectExtent l="0" t="0" r="0" b="7620"/>
                    <wp:wrapNone/>
                    <wp:docPr id="362" name="Retângulo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95160" cy="640080"/>
                            </a:xfrm>
                            <a:prstGeom prst="rect">
                              <a:avLst/>
                            </a:prstGeom>
                            <a:solidFill>
                              <a:schemeClr val="accent1"/>
                            </a:solidFill>
                            <a:ln w="12700">
                              <a:solidFill>
                                <a:schemeClr val="bg1"/>
                              </a:solidFill>
                              <a:miter lim="800000"/>
                              <a:headEnd/>
                              <a:tailEnd/>
                            </a:ln>
                          </wps:spPr>
                          <wps:txbx>
                            <w:txbxContent>
                              <w:sdt>
                                <w:sdtPr>
                                  <w:rPr>
                                    <w:rFonts w:asciiTheme="majorHAnsi" w:eastAsiaTheme="majorEastAsia" w:hAnsiTheme="majorHAnsi" w:cstheme="majorBidi"/>
                                    <w:b/>
                                    <w:color w:val="FFFFFF" w:themeColor="background1"/>
                                    <w:sz w:val="48"/>
                                    <w:szCs w:val="72"/>
                                  </w:rPr>
                                  <w:alias w:val="Título"/>
                                  <w:id w:val="103676091"/>
                                  <w:dataBinding w:prefixMappings="xmlns:ns0='http://schemas.openxmlformats.org/package/2006/metadata/core-properties' xmlns:ns1='http://purl.org/dc/elements/1.1/'" w:xpath="/ns0:coreProperties[1]/ns1:title[1]" w:storeItemID="{6C3C8BC8-F283-45AE-878A-BAB7291924A1}"/>
                                  <w:text/>
                                </w:sdtPr>
                                <w:sdtEndPr/>
                                <w:sdtContent>
                                  <w:p w14:paraId="2DE38B94" w14:textId="77777777" w:rsidR="00BA3D57" w:rsidRPr="004A723C" w:rsidRDefault="00BA3D57" w:rsidP="00250D22">
                                    <w:pPr>
                                      <w:pStyle w:val="SemEspaamento"/>
                                      <w:rPr>
                                        <w:rFonts w:asciiTheme="majorHAnsi" w:eastAsiaTheme="majorEastAsia" w:hAnsiTheme="majorHAnsi" w:cstheme="majorBidi"/>
                                        <w:b/>
                                        <w:color w:val="FFFFFF" w:themeColor="background1"/>
                                        <w:sz w:val="48"/>
                                        <w:szCs w:val="72"/>
                                      </w:rPr>
                                    </w:pPr>
                                    <w:r>
                                      <w:rPr>
                                        <w:rFonts w:asciiTheme="majorHAnsi" w:eastAsiaTheme="majorEastAsia" w:hAnsiTheme="majorHAnsi" w:cstheme="majorBidi"/>
                                        <w:b/>
                                        <w:color w:val="FFFFFF" w:themeColor="background1"/>
                                        <w:sz w:val="48"/>
                                        <w:szCs w:val="72"/>
                                      </w:rPr>
                                      <w:t>POLÍTICA DE INVESTIMENTOS</w:t>
                                    </w:r>
                                  </w:p>
                                </w:sdtContent>
                              </w:sdt>
                            </w:txbxContent>
                          </wps:txbx>
                          <wps:bodyPr rot="0" vert="horz" wrap="square" lIns="182880" tIns="45720" rIns="182880" bIns="45720" anchor="ctr" anchorCtr="0" upright="1">
                            <a:spAutoFit/>
                          </wps:bodyPr>
                        </wps:wsp>
                      </a:graphicData>
                    </a:graphic>
                    <wp14:sizeRelH relativeFrom="page">
                      <wp14:pctWidth>90000</wp14:pctWidth>
                    </wp14:sizeRelH>
                    <wp14:sizeRelV relativeFrom="page">
                      <wp14:pctHeight>7300</wp14:pctHeight>
                    </wp14:sizeRelV>
                  </wp:anchor>
                </w:drawing>
              </mc:Choice>
              <mc:Fallback>
                <w:pict>
                  <v:rect w14:anchorId="09111098" id="Retângulo 16" o:spid="_x0000_s1026" style="position:absolute;margin-left:0;margin-top:0;width:550.8pt;height:50.4pt;z-index:251661312;visibility:visible;mso-wrap-style:square;mso-width-percent:900;mso-height-percent:73;mso-top-percent:250;mso-wrap-distance-left:9pt;mso-wrap-distance-top:0;mso-wrap-distance-right:9pt;mso-wrap-distance-bottom:0;mso-position-horizontal:left;mso-position-horizontal-relative:page;mso-position-vertical-relative:page;mso-width-percent:900;mso-height-percent:73;mso-top-percent:2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" o:allowincell="f" fillcolor="#6ea0b0 [3204]" strokecolor="white [3212]" strokeweight="1pt">
                    <v:textbox style="mso-fit-shape-to-text:t" inset="14.4pt,,14.4pt">
                      <w:txbxContent>
                        <w:sdt>
                          <w:sdtPr>
                            <w:rPr>
                              <w:rFonts w:asciiTheme="majorHAnsi" w:eastAsiaTheme="majorEastAsia" w:hAnsiTheme="majorHAnsi" w:cstheme="majorBidi"/>
                              <w:b/>
                              <w:color w:val="FFFFFF" w:themeColor="background1"/>
                              <w:sz w:val="48"/>
                              <w:szCs w:val="72"/>
                            </w:rPr>
                            <w:alias w:val="Título"/>
                            <w:id w:val="103676091"/>
                            <w:dataBinding w:prefixMappings="xmlns:ns0='http://schemas.openxmlformats.org/package/2006/metadata/core-properties' xmlns:ns1='http://purl.org/dc/elements/1.1/'" w:xpath="/ns0:coreProperties[1]/ns1:title[1]" w:storeItemID="{6C3C8BC8-F283-45AE-878A-BAB7291924A1}"/>
                            <w:text/>
                          </w:sdtPr>
                          <w:sdtContent>
                            <w:p w14:paraId="2DE38B94" w14:textId="77777777" w:rsidR="00BA3D57" w:rsidRPr="004A723C" w:rsidRDefault="00BA3D57" w:rsidP="00250D22">
                              <w:pPr>
                                <w:pStyle w:val="SemEspaamento"/>
                                <w:rPr>
                                  <w:rFonts w:asciiTheme="majorHAnsi" w:eastAsiaTheme="majorEastAsia" w:hAnsiTheme="majorHAnsi" w:cstheme="majorBidi"/>
                                  <w:b/>
                                  <w:color w:val="FFFFFF" w:themeColor="background1"/>
                                  <w:sz w:val="48"/>
                                  <w:szCs w:val="72"/>
                                </w:rPr>
                              </w:pPr>
                              <w:r>
                                <w:rPr>
                                  <w:rFonts w:asciiTheme="majorHAnsi" w:eastAsiaTheme="majorEastAsia" w:hAnsiTheme="majorHAnsi" w:cstheme="majorBidi"/>
                                  <w:b/>
                                  <w:color w:val="FFFFFF" w:themeColor="background1"/>
                                  <w:sz w:val="48"/>
                                  <w:szCs w:val="72"/>
                                </w:rPr>
                                <w:t>POLÍTICA DE INVESTIMENTOS</w:t>
                              </w:r>
                            </w:p>
                          </w:sdtContent>
                        </w:sdt>
                      </w:txbxContent>
                    </v:textbox>
                    <w10:wrap anchorx="page" anchory="page"/>
                  </v:rect>
                </w:pict>
              </mc:Fallback>
            </mc:AlternateContent>
          </w:r>
          <w:r>
            <w:rPr>
              <w:noProof/>
              <w:lang w:eastAsia="pt-BR"/>
            </w:rPr>
            <mc:AlternateContent>
              <mc:Choice Requires="wpg">
                <w:drawing>
                  <wp:anchor distT="0" distB="0" distL="114300" distR="114300" simplePos="0" relativeHeight="251659264" behindDoc="0" locked="0" layoutInCell="0" allowOverlap="1" wp14:anchorId="617F0A4B" wp14:editId="61BAC320">
                    <wp:simplePos x="0" y="0"/>
                    <wp:positionH relativeFrom="page">
                      <wp:align>right</wp:align>
                    </wp:positionH>
                    <wp:positionV relativeFrom="page">
                      <wp:align>top</wp:align>
                    </wp:positionV>
                    <wp:extent cx="3118485" cy="10058400"/>
                    <wp:effectExtent l="0" t="0" r="0" b="0"/>
                    <wp:wrapNone/>
                    <wp:docPr id="363" name="Grupo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08960" cy="10058400"/>
                              <a:chOff x="7329" y="0"/>
                              <a:chExt cx="4911" cy="15840"/>
                            </a:xfrm>
                          </wpg:grpSpPr>
                          <wpg:grpSp>
                            <wpg:cNvPr id="364" name="Group 364"/>
                            <wpg:cNvGrpSpPr>
                              <a:grpSpLocks/>
                            </wpg:cNvGrpSpPr>
                            <wpg:grpSpPr bwMode="auto">
                              <a:xfrm>
                                <a:off x="7344" y="0"/>
                                <a:ext cx="4896" cy="15840"/>
                                <a:chOff x="7560" y="0"/>
                                <a:chExt cx="4700" cy="15840"/>
                              </a:xfrm>
                            </wpg:grpSpPr>
                            <wps:wsp>
                              <wps:cNvPr id="365" name="Rectangle 365"/>
                              <wps:cNvSpPr>
                                <a:spLocks noChangeArrowheads="1"/>
                              </wps:cNvSpPr>
                              <wps:spPr bwMode="auto">
                                <a:xfrm>
                                  <a:off x="7755" y="0"/>
                                  <a:ext cx="4505" cy="15840"/>
                                </a:xfrm>
                                <a:prstGeom prst="rect">
                                  <a:avLst/>
                                </a:prstGeom>
                                <a:solidFill>
                                  <a:schemeClr val="accent6">
                                    <a:lumMod val="50000"/>
                                  </a:schemeClr>
                                </a:solidFill>
                                <a:extLst>
                                  <a:ext uri="{91240B29-F687-4F45-9708-019B960494DF}">
                                    <a14:hiddenLine xmlns:a14="http://schemas.microsoft.com/office/drawing/2010/main" w="9525">
                                      <a:solidFill>
                                        <a:srgbClr val="D8D8D8"/>
                                      </a:solidFill>
                                      <a:miter lim="800000"/>
                                      <a:headEnd/>
                                      <a:tailEnd/>
                                    </a14:hiddenLine>
                                  </a:ext>
                                </a:extLst>
                              </wps:spPr>
                              <wps:bodyPr rot="0" vert="horz" wrap="square" lIns="91440" tIns="45720" rIns="91440" bIns="45720" anchor="t" anchorCtr="0" upright="1">
                                <a:noAutofit/>
                              </wps:bodyPr>
                            </wps:wsp>
                            <wps:wsp>
                              <wps:cNvPr id="366" name="Rectangle 366" descr="Light vertical"/>
                              <wps:cNvSpPr>
                                <a:spLocks noChangeArrowheads="1"/>
                              </wps:cNvSpPr>
                              <wps:spPr bwMode="auto">
                                <a:xfrm>
                                  <a:off x="7560" y="8"/>
                                  <a:ext cx="195" cy="15825"/>
                                </a:xfrm>
                                <a:prstGeom prst="rect">
                                  <a:avLst/>
                                </a:prstGeom>
                                <a:pattFill prst="ltVert">
                                  <a:fgClr>
                                    <a:schemeClr val="accent3">
                                      <a:alpha val="80000"/>
                                    </a:schemeClr>
                                  </a:fgClr>
                                  <a:bgClr>
                                    <a:schemeClr val="bg1">
                                      <a:alpha val="80000"/>
                                    </a:schemeClr>
                                  </a:bgClr>
                                </a:pattFill>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g:grpSp>
                          <wps:wsp>
                            <wps:cNvPr id="367" name="Rectangle 367"/>
                            <wps:cNvSpPr>
                              <a:spLocks noChangeArrowheads="1"/>
                            </wps:cNvSpPr>
                            <wps:spPr bwMode="auto">
                              <a:xfrm>
                                <a:off x="7344" y="0"/>
                                <a:ext cx="4896" cy="3958"/>
                              </a:xfrm>
                              <a:prstGeom prst="rect">
                                <a:avLst/>
                              </a:prstGeom>
                              <a:noFill/>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sdt>
                                  <w:sdtPr>
                                    <w:rPr>
                                      <w:rFonts w:asciiTheme="majorHAnsi" w:eastAsiaTheme="majorEastAsia" w:hAnsiTheme="majorHAnsi" w:cstheme="majorBidi"/>
                                      <w:b/>
                                      <w:bCs/>
                                      <w:color w:val="FFFFFF" w:themeColor="background1"/>
                                      <w:sz w:val="96"/>
                                      <w:szCs w:val="96"/>
                                    </w:rPr>
                                    <w:alias w:val="Ano"/>
                                    <w:id w:val="103676087"/>
                                    <w:dataBinding w:prefixMappings="xmlns:ns0='http://schemas.microsoft.com/office/2006/coverPageProps'" w:xpath="/ns0:CoverPageProperties[1]/ns0:PublishDate[1]" w:storeItemID="{55AF091B-3C7A-41E3-B477-F2FDAA23CFDA}"/>
                                    <w:date w:fullDate="2025-01-01T00:00:00Z">
                                      <w:dateFormat w:val="yyyy"/>
                                      <w:lid w:val="pt-BR"/>
                                      <w:storeMappedDataAs w:val="dateTime"/>
                                      <w:calendar w:val="gregorian"/>
                                    </w:date>
                                  </w:sdtPr>
                                  <w:sdtEndPr/>
                                  <w:sdtContent>
                                    <w:p w14:paraId="6290CC9A" w14:textId="19B2850C" w:rsidR="00BA3D57" w:rsidRDefault="00BA3D57">
                                      <w:pPr>
                                        <w:pStyle w:val="SemEspaamento"/>
                                        <w:rPr>
                                          <w:rFonts w:asciiTheme="majorHAnsi" w:eastAsiaTheme="majorEastAsia" w:hAnsiTheme="majorHAnsi" w:cstheme="majorBidi"/>
                                          <w:b/>
                                          <w:bCs/>
                                          <w:color w:val="FFFFFF" w:themeColor="background1"/>
                                          <w:sz w:val="96"/>
                                          <w:szCs w:val="96"/>
                                        </w:rPr>
                                      </w:pPr>
                                      <w:r>
                                        <w:rPr>
                                          <w:rFonts w:asciiTheme="majorHAnsi" w:eastAsiaTheme="majorEastAsia" w:hAnsiTheme="majorHAnsi" w:cstheme="majorBidi"/>
                                          <w:b/>
                                          <w:bCs/>
                                          <w:color w:val="FFFFFF" w:themeColor="background1"/>
                                          <w:sz w:val="96"/>
                                          <w:szCs w:val="96"/>
                                        </w:rPr>
                                        <w:t>2025</w:t>
                                      </w:r>
                                    </w:p>
                                  </w:sdtContent>
                                </w:sdt>
                              </w:txbxContent>
                            </wps:txbx>
                            <wps:bodyPr rot="0" vert="horz" wrap="square" lIns="365760" tIns="182880" rIns="182880" bIns="182880" anchor="b" anchorCtr="0" upright="1">
                              <a:noAutofit/>
                            </wps:bodyPr>
                          </wps:wsp>
                          <wps:wsp>
                            <wps:cNvPr id="368" name="Rectangle 9"/>
                            <wps:cNvSpPr>
                              <a:spLocks noChangeArrowheads="1"/>
                            </wps:cNvSpPr>
                            <wps:spPr bwMode="auto">
                              <a:xfrm>
                                <a:off x="7329" y="10658"/>
                                <a:ext cx="4889" cy="4462"/>
                              </a:xfrm>
                              <a:prstGeom prst="rect">
                                <a:avLst/>
                              </a:prstGeom>
                              <a:noFill/>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p w14:paraId="4D52D76E" w14:textId="77777777" w:rsidR="00BA3D57" w:rsidRDefault="00BA3D57">
                                  <w:pPr>
                                    <w:pStyle w:val="SemEspaamento"/>
                                    <w:spacing w:line="360" w:lineRule="auto"/>
                                    <w:rPr>
                                      <w:color w:val="FFFFFF" w:themeColor="background1"/>
                                    </w:rPr>
                                  </w:pPr>
                                </w:p>
                                <w:p w14:paraId="7E1F6B1A" w14:textId="366E6D35" w:rsidR="00BA3D57" w:rsidRPr="00020A88" w:rsidRDefault="00020A88" w:rsidP="00020A88">
                                  <w:pPr>
                                    <w:pStyle w:val="SemEspaamento"/>
                                    <w:spacing w:line="360" w:lineRule="auto"/>
                                    <w:jc w:val="both"/>
                                    <w:rPr>
                                      <w:b/>
                                      <w:color w:val="FFFFFF" w:themeColor="background1"/>
                                      <w:sz w:val="16"/>
                                      <w:szCs w:val="20"/>
                                    </w:rPr>
                                  </w:pPr>
                                  <w:r w:rsidRPr="00020A88">
                                    <w:rPr>
                                      <w:b/>
                                      <w:color w:val="FFFFFF" w:themeColor="background1"/>
                                      <w:sz w:val="12"/>
                                      <w:szCs w:val="20"/>
                                    </w:rPr>
                                    <w:t>Fundo de Previdência Social do Município de Pires do Rio/GO</w:t>
                                  </w:r>
                                </w:p>
                              </w:txbxContent>
                            </wps:txbx>
                            <wps:bodyPr rot="0" vert="horz" wrap="square" lIns="365760" tIns="182880" rIns="182880" bIns="182880" anchor="b" anchorCtr="0" upright="1">
                              <a:noAutofit/>
                            </wps:bodyPr>
                          </wps:wsp>
                        </wpg:wgp>
                      </a:graphicData>
                    </a:graphic>
                    <wp14:sizeRelH relativeFrom="page">
                      <wp14:pctWidth>40000</wp14:pctWidth>
                    </wp14:sizeRelH>
                    <wp14:sizeRelV relativeFrom="page">
                      <wp14:pctHeight>100000</wp14:pctHeight>
                    </wp14:sizeRelV>
                  </wp:anchor>
                </w:drawing>
              </mc:Choice>
              <mc:Fallback>
                <w:pict>
                  <v:group w14:anchorId="617F0A4B" id="Grupo 14" o:spid="_x0000_s1027" style="position:absolute;left:0;text-align:left;margin-left:194.35pt;margin-top:0;width:245.55pt;height:11in;z-index:251659264;mso-width-percent:400;mso-height-percent:1000;mso-position-horizontal:right;mso-position-horizontal-relative:page;mso-position-vertical:top;mso-position-vertical-relative:page;mso-width-percent:400;mso-height-percent:1000" coordorigin="7329" coordsize="4911,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" o:allowincell="f">
                    <v:group id="Group 364" o:spid="_x0000_s1028" style="position:absolute;left:7344;width:4896;height:15840" coordorigin="7560" coordsize="4700,15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">
                      <v:rect id="Rectangle 365" o:spid="_x0000_s1029" style="position:absolute;left:7755;width:4505;height:15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" fillcolor="#3e4146 [1609]" stroked="f" strokecolor="#d8d8d8"/>
                      <v:rect id="Rectangle 366" o:spid="_x0000_s1030" alt="Light vertical" style="position:absolute;left:7560;top:8;width:195;height:158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" fillcolor="#8d89a4 [3206]" stroked="f" strokecolor="white" strokeweight="1pt">
                        <v:fill r:id="rId9" o:title="" opacity="52428f" color2="white [3212]" o:opacity2="52428f" type="pattern"/>
                        <v:shadow color="#d8d8d8" offset="3pt,3pt"/>
                      </v:rect>
                    </v:group>
                    <v:rect id="Rectangle 367" o:spid="_x0000_s1031" style="position:absolute;left:7344;width:4896;height:395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" filled="f" stroked="f" strokecolor="white" strokeweight="1pt">
                      <v:fill opacity="52428f"/>
                      <v:shadow color="#d8d8d8" offset="3pt,3pt"/>
                      <v:textbox inset="28.8pt,14.4pt,14.4pt,14.4pt">
                        <w:txbxContent>
                          <w:sdt>
                            <w:sdtPr>
                              <w:rPr>
                                <w:rFonts w:asciiTheme="majorHAnsi" w:eastAsiaTheme="majorEastAsia" w:hAnsiTheme="majorHAnsi" w:cstheme="majorBidi"/>
                                <w:b/>
                                <w:bCs/>
                                <w:color w:val="FFFFFF" w:themeColor="background1"/>
                                <w:sz w:val="96"/>
                                <w:szCs w:val="96"/>
                              </w:rPr>
                              <w:alias w:val="Ano"/>
                              <w:id w:val="103676087"/>
                              <w:dataBinding w:prefixMappings="xmlns:ns0='http://schemas.microsoft.com/office/2006/coverPageProps'" w:xpath="/ns0:CoverPageProperties[1]/ns0:PublishDate[1]" w:storeItemID="{55AF091B-3C7A-41E3-B477-F2FDAA23CFDA}"/>
                              <w:date w:fullDate="2025-01-01T00:00:00Z">
                                <w:dateFormat w:val="yyyy"/>
                                <w:lid w:val="pt-BR"/>
                                <w:storeMappedDataAs w:val="dateTime"/>
                                <w:calendar w:val="gregorian"/>
                              </w:date>
                            </w:sdtPr>
                            <w:sdtEndPr/>
                            <w:sdtContent>
                              <w:p w14:paraId="6290CC9A" w14:textId="19B2850C" w:rsidR="00BA3D57" w:rsidRDefault="00BA3D57">
                                <w:pPr>
                                  <w:pStyle w:val="SemEspaamento"/>
                                  <w:rPr>
                                    <w:rFonts w:asciiTheme="majorHAnsi" w:eastAsiaTheme="majorEastAsia" w:hAnsiTheme="majorHAnsi" w:cstheme="majorBidi"/>
                                    <w:b/>
                                    <w:bCs/>
                                    <w:color w:val="FFFFFF" w:themeColor="background1"/>
                                    <w:sz w:val="96"/>
                                    <w:szCs w:val="96"/>
                                  </w:rPr>
                                </w:pPr>
                                <w:r>
                                  <w:rPr>
                                    <w:rFonts w:asciiTheme="majorHAnsi" w:eastAsiaTheme="majorEastAsia" w:hAnsiTheme="majorHAnsi" w:cstheme="majorBidi"/>
                                    <w:b/>
                                    <w:bCs/>
                                    <w:color w:val="FFFFFF" w:themeColor="background1"/>
                                    <w:sz w:val="96"/>
                                    <w:szCs w:val="96"/>
                                  </w:rPr>
                                  <w:t>2025</w:t>
                                </w:r>
                              </w:p>
                            </w:sdtContent>
                          </w:sdt>
                        </w:txbxContent>
                      </v:textbox>
                    </v:rect>
                    <v:rect id="Rectangle 9" o:spid="_x0000_s1032" style="position:absolute;left:7329;top:10658;width:4889;height:446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" filled="f" stroked="f" strokecolor="white" strokeweight="1pt">
                      <v:fill opacity="52428f"/>
                      <v:shadow color="#d8d8d8" offset="3pt,3pt"/>
                      <v:textbox inset="28.8pt,14.4pt,14.4pt,14.4pt">
                        <w:txbxContent>
                          <w:p w14:paraId="4D52D76E" w14:textId="77777777" w:rsidR="00BA3D57" w:rsidRDefault="00BA3D57">
                            <w:pPr>
                              <w:pStyle w:val="SemEspaamento"/>
                              <w:spacing w:line="360" w:lineRule="auto"/>
                              <w:rPr>
                                <w:color w:val="FFFFFF" w:themeColor="background1"/>
                              </w:rPr>
                            </w:pPr>
                          </w:p>
                          <w:p w14:paraId="7E1F6B1A" w14:textId="366E6D35" w:rsidR="00BA3D57" w:rsidRPr="00020A88" w:rsidRDefault="00020A88" w:rsidP="00020A88">
                            <w:pPr>
                              <w:pStyle w:val="SemEspaamento"/>
                              <w:spacing w:line="360" w:lineRule="auto"/>
                              <w:jc w:val="both"/>
                              <w:rPr>
                                <w:b/>
                                <w:color w:val="FFFFFF" w:themeColor="background1"/>
                                <w:sz w:val="16"/>
                                <w:szCs w:val="20"/>
                              </w:rPr>
                            </w:pPr>
                            <w:r w:rsidRPr="00020A88">
                              <w:rPr>
                                <w:b/>
                                <w:color w:val="FFFFFF" w:themeColor="background1"/>
                                <w:sz w:val="12"/>
                                <w:szCs w:val="20"/>
                              </w:rPr>
                              <w:t>Fundo de Previdência Social do Município de Pires do Rio/GO</w:t>
                            </w:r>
                          </w:p>
                        </w:txbxContent>
                      </v:textbox>
                    </v:rect>
                    <w10:wrap anchorx="page" anchory="page"/>
                  </v:group>
                </w:pict>
              </mc:Fallback>
            </mc:AlternateContent>
          </w:r>
        </w:p>
        <w:p w14:paraId="0603A5FD" w14:textId="4F40EC29" w:rsidR="00873953" w:rsidRDefault="00E144AE">
          <w:r>
            <w:rPr>
              <w:noProof/>
              <w:lang w:eastAsia="pt-BR"/>
            </w:rPr>
            <w:drawing>
              <wp:anchor distT="0" distB="0" distL="114300" distR="114300" simplePos="0" relativeHeight="251663360" behindDoc="0" locked="0" layoutInCell="0" allowOverlap="1" wp14:anchorId="03F973AE" wp14:editId="67A0A014">
                <wp:simplePos x="0" y="0"/>
                <wp:positionH relativeFrom="page">
                  <wp:posOffset>1337430</wp:posOffset>
                </wp:positionH>
                <wp:positionV relativeFrom="page">
                  <wp:posOffset>6503213</wp:posOffset>
                </wp:positionV>
                <wp:extent cx="2399809" cy="706194"/>
                <wp:effectExtent l="19050" t="19050" r="19685" b="17780"/>
                <wp:wrapNone/>
                <wp:docPr id="16"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tion.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399809" cy="706194"/>
                        </a:xfrm>
                        <a:prstGeom prst="rect">
                          <a:avLst/>
                        </a:prstGeom>
                        <a:ln w="12700">
                          <a:solidFill>
                            <a:schemeClr val="bg1"/>
                          </a:solidFill>
                        </a:ln>
                      </pic:spPr>
                    </pic:pic>
                  </a:graphicData>
                </a:graphic>
                <wp14:sizeRelH relativeFrom="margin">
                  <wp14:pctWidth>0</wp14:pctWidth>
                </wp14:sizeRelH>
                <wp14:sizeRelV relativeFrom="margin">
                  <wp14:pctHeight>0</wp14:pctHeight>
                </wp14:sizeRelV>
              </wp:anchor>
            </w:drawing>
          </w:r>
          <w:r w:rsidR="00873953">
            <w:br w:type="page"/>
          </w:r>
        </w:p>
      </w:sdtContent>
    </w:sdt>
    <w:p w14:paraId="55039714" w14:textId="77777777" w:rsidR="00BE3389" w:rsidRDefault="00BE3389" w:rsidP="00BE3389">
      <w:pPr>
        <w:ind w:right="-568"/>
        <w:jc w:val="both"/>
        <w:rPr>
          <w:rFonts w:ascii="Calibri" w:hAnsi="Calibri" w:cs="Calibri"/>
          <w:b/>
        </w:rPr>
      </w:pPr>
    </w:p>
    <w:sdt>
      <w:sdtPr>
        <w:rPr>
          <w:rFonts w:asciiTheme="minorHAnsi" w:eastAsiaTheme="minorHAnsi" w:hAnsiTheme="minorHAnsi" w:cs="Calibri"/>
          <w:b w:val="0"/>
          <w:bCs w:val="0"/>
          <w:color w:val="auto"/>
          <w:sz w:val="20"/>
          <w:szCs w:val="20"/>
          <w:lang w:eastAsia="en-US"/>
        </w:rPr>
        <w:id w:val="-1832134634"/>
        <w:docPartObj>
          <w:docPartGallery w:val="Table of Contents"/>
          <w:docPartUnique/>
        </w:docPartObj>
      </w:sdtPr>
      <w:sdtEndPr/>
      <w:sdtContent>
        <w:p w14:paraId="05C7AEA4" w14:textId="77777777" w:rsidR="0011672B" w:rsidRPr="00AD3A66" w:rsidRDefault="0011672B" w:rsidP="001837C5">
          <w:pPr>
            <w:pStyle w:val="CabealhodoSumrio"/>
            <w:jc w:val="center"/>
            <w:rPr>
              <w:rFonts w:cs="Calibri"/>
              <w:sz w:val="20"/>
              <w:szCs w:val="20"/>
            </w:rPr>
          </w:pPr>
          <w:r w:rsidRPr="00AD3A66">
            <w:rPr>
              <w:rFonts w:cs="Calibri"/>
              <w:sz w:val="20"/>
              <w:szCs w:val="20"/>
            </w:rPr>
            <w:t>Sumário</w:t>
          </w:r>
        </w:p>
        <w:p w14:paraId="58836AEC" w14:textId="77777777" w:rsidR="001837C5" w:rsidRPr="00AD3A66" w:rsidRDefault="001837C5" w:rsidP="001837C5">
          <w:pPr>
            <w:rPr>
              <w:rFonts w:ascii="Calibri" w:hAnsi="Calibri" w:cs="Calibri"/>
              <w:sz w:val="20"/>
              <w:szCs w:val="20"/>
              <w:lang w:eastAsia="pt-BR"/>
            </w:rPr>
          </w:pPr>
        </w:p>
        <w:p w14:paraId="70DCA453" w14:textId="2EC5DD94" w:rsidR="00AA1826" w:rsidRDefault="0011672B">
          <w:pPr>
            <w:pStyle w:val="Sumrio1"/>
            <w:tabs>
              <w:tab w:val="left" w:pos="440"/>
              <w:tab w:val="right" w:leader="dot" w:pos="8494"/>
            </w:tabs>
            <w:rPr>
              <w:rFonts w:eastAsiaTheme="minorEastAsia"/>
              <w:noProof/>
              <w:lang w:eastAsia="pt-BR"/>
            </w:rPr>
          </w:pPr>
          <w:r w:rsidRPr="00AD3A66">
            <w:rPr>
              <w:rFonts w:ascii="Calibri" w:hAnsi="Calibri" w:cs="Calibri"/>
              <w:sz w:val="20"/>
              <w:szCs w:val="20"/>
            </w:rPr>
            <w:fldChar w:fldCharType="begin"/>
          </w:r>
          <w:r w:rsidRPr="00AD3A66">
            <w:rPr>
              <w:rFonts w:ascii="Calibri" w:hAnsi="Calibri" w:cs="Calibri"/>
              <w:sz w:val="20"/>
              <w:szCs w:val="20"/>
            </w:rPr>
            <w:instrText xml:space="preserve"> TOC \o "1-3" \h \z \u </w:instrText>
          </w:r>
          <w:r w:rsidRPr="00AD3A66">
            <w:rPr>
              <w:rFonts w:ascii="Calibri" w:hAnsi="Calibri" w:cs="Calibri"/>
              <w:sz w:val="20"/>
              <w:szCs w:val="20"/>
            </w:rPr>
            <w:fldChar w:fldCharType="separate"/>
          </w:r>
          <w:hyperlink w:anchor="_Toc180593246" w:history="1">
            <w:r w:rsidR="00AA1826" w:rsidRPr="00AB0804">
              <w:rPr>
                <w:rStyle w:val="Hyperlink"/>
                <w:noProof/>
              </w:rPr>
              <w:t>1.</w:t>
            </w:r>
            <w:r w:rsidR="00AA1826">
              <w:rPr>
                <w:rFonts w:eastAsiaTheme="minorEastAsia"/>
                <w:noProof/>
                <w:lang w:eastAsia="pt-BR"/>
              </w:rPr>
              <w:tab/>
            </w:r>
            <w:r w:rsidR="00AA1826" w:rsidRPr="00AB0804">
              <w:rPr>
                <w:rStyle w:val="Hyperlink"/>
                <w:noProof/>
              </w:rPr>
              <w:t>INTRODUÇÃO</w:t>
            </w:r>
            <w:r w:rsidR="00AA1826">
              <w:rPr>
                <w:noProof/>
                <w:webHidden/>
              </w:rPr>
              <w:tab/>
            </w:r>
            <w:r w:rsidR="00AA1826">
              <w:rPr>
                <w:noProof/>
                <w:webHidden/>
              </w:rPr>
              <w:fldChar w:fldCharType="begin"/>
            </w:r>
            <w:r w:rsidR="00AA1826">
              <w:rPr>
                <w:noProof/>
                <w:webHidden/>
              </w:rPr>
              <w:instrText xml:space="preserve"> PAGEREF _Toc180593246 \h </w:instrText>
            </w:r>
            <w:r w:rsidR="00AA1826">
              <w:rPr>
                <w:noProof/>
                <w:webHidden/>
              </w:rPr>
            </w:r>
            <w:r w:rsidR="00AA1826">
              <w:rPr>
                <w:noProof/>
                <w:webHidden/>
              </w:rPr>
              <w:fldChar w:fldCharType="separate"/>
            </w:r>
            <w:r w:rsidR="006000B2">
              <w:rPr>
                <w:noProof/>
                <w:webHidden/>
              </w:rPr>
              <w:t>2</w:t>
            </w:r>
            <w:r w:rsidR="00AA1826">
              <w:rPr>
                <w:noProof/>
                <w:webHidden/>
              </w:rPr>
              <w:fldChar w:fldCharType="end"/>
            </w:r>
          </w:hyperlink>
        </w:p>
        <w:p w14:paraId="5B98FE49" w14:textId="39E34BC9" w:rsidR="00AA1826" w:rsidRDefault="00F84129">
          <w:pPr>
            <w:pStyle w:val="Sumrio1"/>
            <w:tabs>
              <w:tab w:val="left" w:pos="440"/>
              <w:tab w:val="right" w:leader="dot" w:pos="8494"/>
            </w:tabs>
            <w:rPr>
              <w:rFonts w:eastAsiaTheme="minorEastAsia"/>
              <w:noProof/>
              <w:lang w:eastAsia="pt-BR"/>
            </w:rPr>
          </w:pPr>
          <w:hyperlink w:anchor="_Toc180593247" w:history="1">
            <w:r w:rsidR="00AA1826" w:rsidRPr="00AB0804">
              <w:rPr>
                <w:rStyle w:val="Hyperlink"/>
                <w:noProof/>
              </w:rPr>
              <w:t>2.</w:t>
            </w:r>
            <w:r w:rsidR="00AA1826">
              <w:rPr>
                <w:rFonts w:eastAsiaTheme="minorEastAsia"/>
                <w:noProof/>
                <w:lang w:eastAsia="pt-BR"/>
              </w:rPr>
              <w:tab/>
            </w:r>
            <w:r w:rsidR="00AA1826" w:rsidRPr="00AB0804">
              <w:rPr>
                <w:rStyle w:val="Hyperlink"/>
                <w:noProof/>
              </w:rPr>
              <w:t>OBJETIVO</w:t>
            </w:r>
            <w:r w:rsidR="00AA1826">
              <w:rPr>
                <w:noProof/>
                <w:webHidden/>
              </w:rPr>
              <w:tab/>
            </w:r>
            <w:r w:rsidR="00AA1826">
              <w:rPr>
                <w:noProof/>
                <w:webHidden/>
              </w:rPr>
              <w:fldChar w:fldCharType="begin"/>
            </w:r>
            <w:r w:rsidR="00AA1826">
              <w:rPr>
                <w:noProof/>
                <w:webHidden/>
              </w:rPr>
              <w:instrText xml:space="preserve"> PAGEREF _Toc180593247 \h </w:instrText>
            </w:r>
            <w:r w:rsidR="00AA1826">
              <w:rPr>
                <w:noProof/>
                <w:webHidden/>
              </w:rPr>
            </w:r>
            <w:r w:rsidR="00AA1826">
              <w:rPr>
                <w:noProof/>
                <w:webHidden/>
              </w:rPr>
              <w:fldChar w:fldCharType="separate"/>
            </w:r>
            <w:r w:rsidR="006000B2">
              <w:rPr>
                <w:noProof/>
                <w:webHidden/>
              </w:rPr>
              <w:t>3</w:t>
            </w:r>
            <w:r w:rsidR="00AA1826">
              <w:rPr>
                <w:noProof/>
                <w:webHidden/>
              </w:rPr>
              <w:fldChar w:fldCharType="end"/>
            </w:r>
          </w:hyperlink>
        </w:p>
        <w:p w14:paraId="1760135C" w14:textId="12DEB40B" w:rsidR="00AA1826" w:rsidRDefault="00F84129">
          <w:pPr>
            <w:pStyle w:val="Sumrio1"/>
            <w:tabs>
              <w:tab w:val="left" w:pos="440"/>
              <w:tab w:val="right" w:leader="dot" w:pos="8494"/>
            </w:tabs>
            <w:rPr>
              <w:rFonts w:eastAsiaTheme="minorEastAsia"/>
              <w:noProof/>
              <w:lang w:eastAsia="pt-BR"/>
            </w:rPr>
          </w:pPr>
          <w:hyperlink w:anchor="_Toc180593248" w:history="1">
            <w:r w:rsidR="00AA1826" w:rsidRPr="00AB0804">
              <w:rPr>
                <w:rStyle w:val="Hyperlink"/>
                <w:noProof/>
              </w:rPr>
              <w:t>3.</w:t>
            </w:r>
            <w:r w:rsidR="00AA1826">
              <w:rPr>
                <w:rFonts w:eastAsiaTheme="minorEastAsia"/>
                <w:noProof/>
                <w:lang w:eastAsia="pt-BR"/>
              </w:rPr>
              <w:tab/>
            </w:r>
            <w:r w:rsidR="00AA1826" w:rsidRPr="00AB0804">
              <w:rPr>
                <w:rStyle w:val="Hyperlink"/>
                <w:noProof/>
              </w:rPr>
              <w:t>CENÁRIO ECONÔMICO</w:t>
            </w:r>
            <w:r w:rsidR="00AA1826">
              <w:rPr>
                <w:noProof/>
                <w:webHidden/>
              </w:rPr>
              <w:tab/>
            </w:r>
            <w:r w:rsidR="00AA1826">
              <w:rPr>
                <w:noProof/>
                <w:webHidden/>
              </w:rPr>
              <w:fldChar w:fldCharType="begin"/>
            </w:r>
            <w:r w:rsidR="00AA1826">
              <w:rPr>
                <w:noProof/>
                <w:webHidden/>
              </w:rPr>
              <w:instrText xml:space="preserve"> PAGEREF _Toc180593248 \h </w:instrText>
            </w:r>
            <w:r w:rsidR="00AA1826">
              <w:rPr>
                <w:noProof/>
                <w:webHidden/>
              </w:rPr>
            </w:r>
            <w:r w:rsidR="00AA1826">
              <w:rPr>
                <w:noProof/>
                <w:webHidden/>
              </w:rPr>
              <w:fldChar w:fldCharType="separate"/>
            </w:r>
            <w:r w:rsidR="006000B2">
              <w:rPr>
                <w:noProof/>
                <w:webHidden/>
              </w:rPr>
              <w:t>4</w:t>
            </w:r>
            <w:r w:rsidR="00AA1826">
              <w:rPr>
                <w:noProof/>
                <w:webHidden/>
              </w:rPr>
              <w:fldChar w:fldCharType="end"/>
            </w:r>
          </w:hyperlink>
        </w:p>
        <w:p w14:paraId="5BD365EB" w14:textId="19A94CDB" w:rsidR="00AA1826" w:rsidRDefault="00F84129">
          <w:pPr>
            <w:pStyle w:val="Sumrio2"/>
            <w:tabs>
              <w:tab w:val="left" w:pos="880"/>
              <w:tab w:val="right" w:leader="dot" w:pos="8494"/>
            </w:tabs>
            <w:rPr>
              <w:rFonts w:eastAsiaTheme="minorEastAsia"/>
              <w:noProof/>
              <w:lang w:eastAsia="pt-BR"/>
            </w:rPr>
          </w:pPr>
          <w:hyperlink w:anchor="_Toc180593249" w:history="1">
            <w:r w:rsidR="00AA1826" w:rsidRPr="00AB0804">
              <w:rPr>
                <w:rStyle w:val="Hyperlink"/>
                <w:noProof/>
              </w:rPr>
              <w:t>3.1.</w:t>
            </w:r>
            <w:r w:rsidR="00AA1826">
              <w:rPr>
                <w:rFonts w:eastAsiaTheme="minorEastAsia"/>
                <w:noProof/>
                <w:lang w:eastAsia="pt-BR"/>
              </w:rPr>
              <w:tab/>
            </w:r>
            <w:r w:rsidR="00AA1826" w:rsidRPr="00AB0804">
              <w:rPr>
                <w:rStyle w:val="Hyperlink"/>
                <w:noProof/>
              </w:rPr>
              <w:t>Inflação</w:t>
            </w:r>
            <w:r w:rsidR="00AA1826">
              <w:rPr>
                <w:noProof/>
                <w:webHidden/>
              </w:rPr>
              <w:tab/>
            </w:r>
            <w:r w:rsidR="00AA1826">
              <w:rPr>
                <w:noProof/>
                <w:webHidden/>
              </w:rPr>
              <w:fldChar w:fldCharType="begin"/>
            </w:r>
            <w:r w:rsidR="00AA1826">
              <w:rPr>
                <w:noProof/>
                <w:webHidden/>
              </w:rPr>
              <w:instrText xml:space="preserve"> PAGEREF _Toc180593249 \h </w:instrText>
            </w:r>
            <w:r w:rsidR="00AA1826">
              <w:rPr>
                <w:noProof/>
                <w:webHidden/>
              </w:rPr>
            </w:r>
            <w:r w:rsidR="00AA1826">
              <w:rPr>
                <w:noProof/>
                <w:webHidden/>
              </w:rPr>
              <w:fldChar w:fldCharType="separate"/>
            </w:r>
            <w:r w:rsidR="006000B2">
              <w:rPr>
                <w:noProof/>
                <w:webHidden/>
              </w:rPr>
              <w:t>5</w:t>
            </w:r>
            <w:r w:rsidR="00AA1826">
              <w:rPr>
                <w:noProof/>
                <w:webHidden/>
              </w:rPr>
              <w:fldChar w:fldCharType="end"/>
            </w:r>
          </w:hyperlink>
        </w:p>
        <w:p w14:paraId="57F9DCBC" w14:textId="12B1AFB4" w:rsidR="00AA1826" w:rsidRDefault="00F84129">
          <w:pPr>
            <w:pStyle w:val="Sumrio2"/>
            <w:tabs>
              <w:tab w:val="left" w:pos="880"/>
              <w:tab w:val="right" w:leader="dot" w:pos="8494"/>
            </w:tabs>
            <w:rPr>
              <w:rFonts w:eastAsiaTheme="minorEastAsia"/>
              <w:noProof/>
              <w:lang w:eastAsia="pt-BR"/>
            </w:rPr>
          </w:pPr>
          <w:hyperlink w:anchor="_Toc180593250" w:history="1">
            <w:r w:rsidR="00AA1826" w:rsidRPr="00AB0804">
              <w:rPr>
                <w:rStyle w:val="Hyperlink"/>
                <w:noProof/>
              </w:rPr>
              <w:t>3.2.</w:t>
            </w:r>
            <w:r w:rsidR="00AA1826">
              <w:rPr>
                <w:rFonts w:eastAsiaTheme="minorEastAsia"/>
                <w:noProof/>
                <w:lang w:eastAsia="pt-BR"/>
              </w:rPr>
              <w:tab/>
            </w:r>
            <w:r w:rsidR="00AA1826" w:rsidRPr="00AB0804">
              <w:rPr>
                <w:rStyle w:val="Hyperlink"/>
                <w:noProof/>
              </w:rPr>
              <w:t>Taxa de Juros</w:t>
            </w:r>
            <w:r w:rsidR="00AA1826">
              <w:rPr>
                <w:noProof/>
                <w:webHidden/>
              </w:rPr>
              <w:tab/>
            </w:r>
            <w:r w:rsidR="00AA1826">
              <w:rPr>
                <w:noProof/>
                <w:webHidden/>
              </w:rPr>
              <w:fldChar w:fldCharType="begin"/>
            </w:r>
            <w:r w:rsidR="00AA1826">
              <w:rPr>
                <w:noProof/>
                <w:webHidden/>
              </w:rPr>
              <w:instrText xml:space="preserve"> PAGEREF _Toc180593250 \h </w:instrText>
            </w:r>
            <w:r w:rsidR="00AA1826">
              <w:rPr>
                <w:noProof/>
                <w:webHidden/>
              </w:rPr>
            </w:r>
            <w:r w:rsidR="00AA1826">
              <w:rPr>
                <w:noProof/>
                <w:webHidden/>
              </w:rPr>
              <w:fldChar w:fldCharType="separate"/>
            </w:r>
            <w:r w:rsidR="006000B2">
              <w:rPr>
                <w:noProof/>
                <w:webHidden/>
              </w:rPr>
              <w:t>6</w:t>
            </w:r>
            <w:r w:rsidR="00AA1826">
              <w:rPr>
                <w:noProof/>
                <w:webHidden/>
              </w:rPr>
              <w:fldChar w:fldCharType="end"/>
            </w:r>
          </w:hyperlink>
        </w:p>
        <w:p w14:paraId="2795F582" w14:textId="4B531C9C" w:rsidR="00AA1826" w:rsidRDefault="00F84129">
          <w:pPr>
            <w:pStyle w:val="Sumrio2"/>
            <w:tabs>
              <w:tab w:val="left" w:pos="880"/>
              <w:tab w:val="right" w:leader="dot" w:pos="8494"/>
            </w:tabs>
            <w:rPr>
              <w:rFonts w:eastAsiaTheme="minorEastAsia"/>
              <w:noProof/>
              <w:lang w:eastAsia="pt-BR"/>
            </w:rPr>
          </w:pPr>
          <w:hyperlink w:anchor="_Toc180593251" w:history="1">
            <w:r w:rsidR="00AA1826" w:rsidRPr="00AB0804">
              <w:rPr>
                <w:rStyle w:val="Hyperlink"/>
                <w:noProof/>
              </w:rPr>
              <w:t>3.3.</w:t>
            </w:r>
            <w:r w:rsidR="00AA1826">
              <w:rPr>
                <w:rFonts w:eastAsiaTheme="minorEastAsia"/>
                <w:noProof/>
                <w:lang w:eastAsia="pt-BR"/>
              </w:rPr>
              <w:tab/>
            </w:r>
            <w:r w:rsidR="00AA1826" w:rsidRPr="00AB0804">
              <w:rPr>
                <w:rStyle w:val="Hyperlink"/>
                <w:noProof/>
              </w:rPr>
              <w:t>Projeções Econômicas</w:t>
            </w:r>
            <w:r w:rsidR="00AA1826">
              <w:rPr>
                <w:noProof/>
                <w:webHidden/>
              </w:rPr>
              <w:tab/>
            </w:r>
            <w:r w:rsidR="00AA1826">
              <w:rPr>
                <w:noProof/>
                <w:webHidden/>
              </w:rPr>
              <w:fldChar w:fldCharType="begin"/>
            </w:r>
            <w:r w:rsidR="00AA1826">
              <w:rPr>
                <w:noProof/>
                <w:webHidden/>
              </w:rPr>
              <w:instrText xml:space="preserve"> PAGEREF _Toc180593251 \h </w:instrText>
            </w:r>
            <w:r w:rsidR="00AA1826">
              <w:rPr>
                <w:noProof/>
                <w:webHidden/>
              </w:rPr>
            </w:r>
            <w:r w:rsidR="00AA1826">
              <w:rPr>
                <w:noProof/>
                <w:webHidden/>
              </w:rPr>
              <w:fldChar w:fldCharType="separate"/>
            </w:r>
            <w:r w:rsidR="006000B2">
              <w:rPr>
                <w:noProof/>
                <w:webHidden/>
              </w:rPr>
              <w:t>8</w:t>
            </w:r>
            <w:r w:rsidR="00AA1826">
              <w:rPr>
                <w:noProof/>
                <w:webHidden/>
              </w:rPr>
              <w:fldChar w:fldCharType="end"/>
            </w:r>
          </w:hyperlink>
        </w:p>
        <w:p w14:paraId="3EF85491" w14:textId="3CA177F3" w:rsidR="00AA1826" w:rsidRDefault="00F84129">
          <w:pPr>
            <w:pStyle w:val="Sumrio1"/>
            <w:tabs>
              <w:tab w:val="left" w:pos="440"/>
              <w:tab w:val="right" w:leader="dot" w:pos="8494"/>
            </w:tabs>
            <w:rPr>
              <w:rFonts w:eastAsiaTheme="minorEastAsia"/>
              <w:noProof/>
              <w:lang w:eastAsia="pt-BR"/>
            </w:rPr>
          </w:pPr>
          <w:hyperlink w:anchor="_Toc180593252" w:history="1">
            <w:r w:rsidR="00AA1826" w:rsidRPr="00AB0804">
              <w:rPr>
                <w:rStyle w:val="Hyperlink"/>
                <w:noProof/>
              </w:rPr>
              <w:t>4.</w:t>
            </w:r>
            <w:r w:rsidR="00AA1826">
              <w:rPr>
                <w:rFonts w:eastAsiaTheme="minorEastAsia"/>
                <w:noProof/>
                <w:lang w:eastAsia="pt-BR"/>
              </w:rPr>
              <w:tab/>
            </w:r>
            <w:r w:rsidR="00AA1826" w:rsidRPr="00AB0804">
              <w:rPr>
                <w:rStyle w:val="Hyperlink"/>
                <w:noProof/>
              </w:rPr>
              <w:t>ALOCAÇÃO ESTRATÉGICA DOS RECURSOS</w:t>
            </w:r>
            <w:r w:rsidR="00AA1826">
              <w:rPr>
                <w:noProof/>
                <w:webHidden/>
              </w:rPr>
              <w:tab/>
            </w:r>
            <w:r w:rsidR="00AA1826">
              <w:rPr>
                <w:noProof/>
                <w:webHidden/>
              </w:rPr>
              <w:fldChar w:fldCharType="begin"/>
            </w:r>
            <w:r w:rsidR="00AA1826">
              <w:rPr>
                <w:noProof/>
                <w:webHidden/>
              </w:rPr>
              <w:instrText xml:space="preserve"> PAGEREF _Toc180593252 \h </w:instrText>
            </w:r>
            <w:r w:rsidR="00AA1826">
              <w:rPr>
                <w:noProof/>
                <w:webHidden/>
              </w:rPr>
            </w:r>
            <w:r w:rsidR="00AA1826">
              <w:rPr>
                <w:noProof/>
                <w:webHidden/>
              </w:rPr>
              <w:fldChar w:fldCharType="separate"/>
            </w:r>
            <w:r w:rsidR="006000B2">
              <w:rPr>
                <w:noProof/>
                <w:webHidden/>
              </w:rPr>
              <w:t>9</w:t>
            </w:r>
            <w:r w:rsidR="00AA1826">
              <w:rPr>
                <w:noProof/>
                <w:webHidden/>
              </w:rPr>
              <w:fldChar w:fldCharType="end"/>
            </w:r>
          </w:hyperlink>
        </w:p>
        <w:p w14:paraId="57D11E6F" w14:textId="662622C2" w:rsidR="00AA1826" w:rsidRDefault="00F84129">
          <w:pPr>
            <w:pStyle w:val="Sumrio2"/>
            <w:tabs>
              <w:tab w:val="left" w:pos="880"/>
              <w:tab w:val="right" w:leader="dot" w:pos="8494"/>
            </w:tabs>
            <w:rPr>
              <w:rFonts w:eastAsiaTheme="minorEastAsia"/>
              <w:noProof/>
              <w:lang w:eastAsia="pt-BR"/>
            </w:rPr>
          </w:pPr>
          <w:hyperlink w:anchor="_Toc180593253" w:history="1">
            <w:r w:rsidR="00AA1826" w:rsidRPr="00AB0804">
              <w:rPr>
                <w:rStyle w:val="Hyperlink"/>
                <w:noProof/>
              </w:rPr>
              <w:t>4.1.</w:t>
            </w:r>
            <w:r w:rsidR="00AA1826">
              <w:rPr>
                <w:rFonts w:eastAsiaTheme="minorEastAsia"/>
                <w:noProof/>
                <w:lang w:eastAsia="pt-BR"/>
              </w:rPr>
              <w:tab/>
            </w:r>
            <w:r w:rsidR="00AA1826" w:rsidRPr="00AB0804">
              <w:rPr>
                <w:rStyle w:val="Hyperlink"/>
                <w:noProof/>
              </w:rPr>
              <w:t>Distribuição Projetada para 2025</w:t>
            </w:r>
            <w:r w:rsidR="00AA1826">
              <w:rPr>
                <w:noProof/>
                <w:webHidden/>
              </w:rPr>
              <w:tab/>
            </w:r>
            <w:r w:rsidR="00AA1826">
              <w:rPr>
                <w:noProof/>
                <w:webHidden/>
              </w:rPr>
              <w:fldChar w:fldCharType="begin"/>
            </w:r>
            <w:r w:rsidR="00AA1826">
              <w:rPr>
                <w:noProof/>
                <w:webHidden/>
              </w:rPr>
              <w:instrText xml:space="preserve"> PAGEREF _Toc180593253 \h </w:instrText>
            </w:r>
            <w:r w:rsidR="00AA1826">
              <w:rPr>
                <w:noProof/>
                <w:webHidden/>
              </w:rPr>
            </w:r>
            <w:r w:rsidR="00AA1826">
              <w:rPr>
                <w:noProof/>
                <w:webHidden/>
              </w:rPr>
              <w:fldChar w:fldCharType="separate"/>
            </w:r>
            <w:r w:rsidR="006000B2">
              <w:rPr>
                <w:noProof/>
                <w:webHidden/>
              </w:rPr>
              <w:t>9</w:t>
            </w:r>
            <w:r w:rsidR="00AA1826">
              <w:rPr>
                <w:noProof/>
                <w:webHidden/>
              </w:rPr>
              <w:fldChar w:fldCharType="end"/>
            </w:r>
          </w:hyperlink>
        </w:p>
        <w:p w14:paraId="0C896769" w14:textId="6B88E18B" w:rsidR="00AA1826" w:rsidRDefault="00F84129">
          <w:pPr>
            <w:pStyle w:val="Sumrio3"/>
            <w:tabs>
              <w:tab w:val="left" w:pos="1320"/>
              <w:tab w:val="right" w:leader="dot" w:pos="8494"/>
            </w:tabs>
            <w:rPr>
              <w:rFonts w:eastAsiaTheme="minorEastAsia"/>
              <w:noProof/>
              <w:lang w:eastAsia="pt-BR"/>
            </w:rPr>
          </w:pPr>
          <w:hyperlink w:anchor="_Toc180593254" w:history="1">
            <w:r w:rsidR="00AA1826" w:rsidRPr="00AB0804">
              <w:rPr>
                <w:rStyle w:val="Hyperlink"/>
                <w:noProof/>
              </w:rPr>
              <w:t>4.1.1.</w:t>
            </w:r>
            <w:r w:rsidR="00AA1826">
              <w:rPr>
                <w:rFonts w:eastAsiaTheme="minorEastAsia"/>
                <w:noProof/>
                <w:lang w:eastAsia="pt-BR"/>
              </w:rPr>
              <w:tab/>
            </w:r>
            <w:r w:rsidR="00AA1826" w:rsidRPr="00AB0804">
              <w:rPr>
                <w:rStyle w:val="Hyperlink"/>
                <w:noProof/>
              </w:rPr>
              <w:t>Alocação no Segmento de Renda Fixa</w:t>
            </w:r>
            <w:r w:rsidR="00AA1826">
              <w:rPr>
                <w:noProof/>
                <w:webHidden/>
              </w:rPr>
              <w:tab/>
            </w:r>
            <w:r w:rsidR="00AA1826">
              <w:rPr>
                <w:noProof/>
                <w:webHidden/>
              </w:rPr>
              <w:fldChar w:fldCharType="begin"/>
            </w:r>
            <w:r w:rsidR="00AA1826">
              <w:rPr>
                <w:noProof/>
                <w:webHidden/>
              </w:rPr>
              <w:instrText xml:space="preserve"> PAGEREF _Toc180593254 \h </w:instrText>
            </w:r>
            <w:r w:rsidR="00AA1826">
              <w:rPr>
                <w:noProof/>
                <w:webHidden/>
              </w:rPr>
            </w:r>
            <w:r w:rsidR="00AA1826">
              <w:rPr>
                <w:noProof/>
                <w:webHidden/>
              </w:rPr>
              <w:fldChar w:fldCharType="separate"/>
            </w:r>
            <w:r w:rsidR="006000B2">
              <w:rPr>
                <w:noProof/>
                <w:webHidden/>
              </w:rPr>
              <w:t>14</w:t>
            </w:r>
            <w:r w:rsidR="00AA1826">
              <w:rPr>
                <w:noProof/>
                <w:webHidden/>
              </w:rPr>
              <w:fldChar w:fldCharType="end"/>
            </w:r>
          </w:hyperlink>
        </w:p>
        <w:p w14:paraId="0E50EDE1" w14:textId="55C4A5B0" w:rsidR="00AA1826" w:rsidRDefault="00F84129">
          <w:pPr>
            <w:pStyle w:val="Sumrio3"/>
            <w:tabs>
              <w:tab w:val="left" w:pos="1320"/>
              <w:tab w:val="right" w:leader="dot" w:pos="8494"/>
            </w:tabs>
            <w:rPr>
              <w:rFonts w:eastAsiaTheme="minorEastAsia"/>
              <w:noProof/>
              <w:lang w:eastAsia="pt-BR"/>
            </w:rPr>
          </w:pPr>
          <w:hyperlink w:anchor="_Toc180593255" w:history="1">
            <w:r w:rsidR="00AA1826" w:rsidRPr="00AB0804">
              <w:rPr>
                <w:rStyle w:val="Hyperlink"/>
                <w:noProof/>
              </w:rPr>
              <w:t>4.1.2.</w:t>
            </w:r>
            <w:r w:rsidR="00AA1826">
              <w:rPr>
                <w:rFonts w:eastAsiaTheme="minorEastAsia"/>
                <w:noProof/>
                <w:lang w:eastAsia="pt-BR"/>
              </w:rPr>
              <w:tab/>
            </w:r>
            <w:r w:rsidR="00AA1826" w:rsidRPr="00AB0804">
              <w:rPr>
                <w:rStyle w:val="Hyperlink"/>
                <w:noProof/>
              </w:rPr>
              <w:t>Alocação no Segmento de Renda Variável</w:t>
            </w:r>
            <w:r w:rsidR="00AA1826">
              <w:rPr>
                <w:noProof/>
                <w:webHidden/>
              </w:rPr>
              <w:tab/>
            </w:r>
            <w:r w:rsidR="00AA1826">
              <w:rPr>
                <w:noProof/>
                <w:webHidden/>
              </w:rPr>
              <w:fldChar w:fldCharType="begin"/>
            </w:r>
            <w:r w:rsidR="00AA1826">
              <w:rPr>
                <w:noProof/>
                <w:webHidden/>
              </w:rPr>
              <w:instrText xml:space="preserve"> PAGEREF _Toc180593255 \h </w:instrText>
            </w:r>
            <w:r w:rsidR="00AA1826">
              <w:rPr>
                <w:noProof/>
                <w:webHidden/>
              </w:rPr>
            </w:r>
            <w:r w:rsidR="00AA1826">
              <w:rPr>
                <w:noProof/>
                <w:webHidden/>
              </w:rPr>
              <w:fldChar w:fldCharType="separate"/>
            </w:r>
            <w:r w:rsidR="006000B2">
              <w:rPr>
                <w:noProof/>
                <w:webHidden/>
              </w:rPr>
              <w:t>15</w:t>
            </w:r>
            <w:r w:rsidR="00AA1826">
              <w:rPr>
                <w:noProof/>
                <w:webHidden/>
              </w:rPr>
              <w:fldChar w:fldCharType="end"/>
            </w:r>
          </w:hyperlink>
        </w:p>
        <w:p w14:paraId="51C29632" w14:textId="6F32F6A1" w:rsidR="00AA1826" w:rsidRDefault="00F84129">
          <w:pPr>
            <w:pStyle w:val="Sumrio3"/>
            <w:tabs>
              <w:tab w:val="left" w:pos="1320"/>
              <w:tab w:val="right" w:leader="dot" w:pos="8494"/>
            </w:tabs>
            <w:rPr>
              <w:rFonts w:eastAsiaTheme="minorEastAsia"/>
              <w:noProof/>
              <w:lang w:eastAsia="pt-BR"/>
            </w:rPr>
          </w:pPr>
          <w:hyperlink w:anchor="_Toc180593256" w:history="1">
            <w:r w:rsidR="00AA1826" w:rsidRPr="00AB0804">
              <w:rPr>
                <w:rStyle w:val="Hyperlink"/>
                <w:noProof/>
              </w:rPr>
              <w:t>4.1.3.</w:t>
            </w:r>
            <w:r w:rsidR="00AA1826">
              <w:rPr>
                <w:rFonts w:eastAsiaTheme="minorEastAsia"/>
                <w:noProof/>
                <w:lang w:eastAsia="pt-BR"/>
              </w:rPr>
              <w:tab/>
            </w:r>
            <w:r w:rsidR="00AA1826" w:rsidRPr="00AB0804">
              <w:rPr>
                <w:rStyle w:val="Hyperlink"/>
                <w:noProof/>
              </w:rPr>
              <w:t>Alocação no Segmento de Investimentos no Exterior</w:t>
            </w:r>
            <w:r w:rsidR="00AA1826">
              <w:rPr>
                <w:noProof/>
                <w:webHidden/>
              </w:rPr>
              <w:tab/>
            </w:r>
            <w:r w:rsidR="00AA1826">
              <w:rPr>
                <w:noProof/>
                <w:webHidden/>
              </w:rPr>
              <w:fldChar w:fldCharType="begin"/>
            </w:r>
            <w:r w:rsidR="00AA1826">
              <w:rPr>
                <w:noProof/>
                <w:webHidden/>
              </w:rPr>
              <w:instrText xml:space="preserve"> PAGEREF _Toc180593256 \h </w:instrText>
            </w:r>
            <w:r w:rsidR="00AA1826">
              <w:rPr>
                <w:noProof/>
                <w:webHidden/>
              </w:rPr>
            </w:r>
            <w:r w:rsidR="00AA1826">
              <w:rPr>
                <w:noProof/>
                <w:webHidden/>
              </w:rPr>
              <w:fldChar w:fldCharType="separate"/>
            </w:r>
            <w:r w:rsidR="006000B2">
              <w:rPr>
                <w:noProof/>
                <w:webHidden/>
              </w:rPr>
              <w:t>16</w:t>
            </w:r>
            <w:r w:rsidR="00AA1826">
              <w:rPr>
                <w:noProof/>
                <w:webHidden/>
              </w:rPr>
              <w:fldChar w:fldCharType="end"/>
            </w:r>
          </w:hyperlink>
        </w:p>
        <w:p w14:paraId="3108E49E" w14:textId="712233C6" w:rsidR="00AA1826" w:rsidRDefault="00F84129">
          <w:pPr>
            <w:pStyle w:val="Sumrio3"/>
            <w:tabs>
              <w:tab w:val="left" w:pos="1320"/>
              <w:tab w:val="right" w:leader="dot" w:pos="8494"/>
            </w:tabs>
            <w:rPr>
              <w:rFonts w:eastAsiaTheme="minorEastAsia"/>
              <w:noProof/>
              <w:lang w:eastAsia="pt-BR"/>
            </w:rPr>
          </w:pPr>
          <w:hyperlink w:anchor="_Toc180593257" w:history="1">
            <w:r w:rsidR="00AA1826" w:rsidRPr="00AB0804">
              <w:rPr>
                <w:rStyle w:val="Hyperlink"/>
                <w:noProof/>
              </w:rPr>
              <w:t>4.1.4.</w:t>
            </w:r>
            <w:r w:rsidR="00AA1826">
              <w:rPr>
                <w:rFonts w:eastAsiaTheme="minorEastAsia"/>
                <w:noProof/>
                <w:lang w:eastAsia="pt-BR"/>
              </w:rPr>
              <w:tab/>
            </w:r>
            <w:r w:rsidR="00AA1826" w:rsidRPr="00AB0804">
              <w:rPr>
                <w:rStyle w:val="Hyperlink"/>
                <w:noProof/>
              </w:rPr>
              <w:t>Alocação no Segmento de Investimentos Estruturados</w:t>
            </w:r>
            <w:r w:rsidR="00AA1826">
              <w:rPr>
                <w:noProof/>
                <w:webHidden/>
              </w:rPr>
              <w:tab/>
            </w:r>
            <w:r w:rsidR="00AA1826">
              <w:rPr>
                <w:noProof/>
                <w:webHidden/>
              </w:rPr>
              <w:fldChar w:fldCharType="begin"/>
            </w:r>
            <w:r w:rsidR="00AA1826">
              <w:rPr>
                <w:noProof/>
                <w:webHidden/>
              </w:rPr>
              <w:instrText xml:space="preserve"> PAGEREF _Toc180593257 \h </w:instrText>
            </w:r>
            <w:r w:rsidR="00AA1826">
              <w:rPr>
                <w:noProof/>
                <w:webHidden/>
              </w:rPr>
            </w:r>
            <w:r w:rsidR="00AA1826">
              <w:rPr>
                <w:noProof/>
                <w:webHidden/>
              </w:rPr>
              <w:fldChar w:fldCharType="separate"/>
            </w:r>
            <w:r w:rsidR="006000B2">
              <w:rPr>
                <w:noProof/>
                <w:webHidden/>
              </w:rPr>
              <w:t>16</w:t>
            </w:r>
            <w:r w:rsidR="00AA1826">
              <w:rPr>
                <w:noProof/>
                <w:webHidden/>
              </w:rPr>
              <w:fldChar w:fldCharType="end"/>
            </w:r>
          </w:hyperlink>
        </w:p>
        <w:p w14:paraId="3D373CD1" w14:textId="6B1AC508" w:rsidR="00AA1826" w:rsidRDefault="00F84129">
          <w:pPr>
            <w:pStyle w:val="Sumrio3"/>
            <w:tabs>
              <w:tab w:val="left" w:pos="1320"/>
              <w:tab w:val="right" w:leader="dot" w:pos="8494"/>
            </w:tabs>
            <w:rPr>
              <w:rFonts w:eastAsiaTheme="minorEastAsia"/>
              <w:noProof/>
              <w:lang w:eastAsia="pt-BR"/>
            </w:rPr>
          </w:pPr>
          <w:hyperlink w:anchor="_Toc180593258" w:history="1">
            <w:r w:rsidR="00AA1826" w:rsidRPr="00AB0804">
              <w:rPr>
                <w:rStyle w:val="Hyperlink"/>
                <w:noProof/>
              </w:rPr>
              <w:t>4.1.5.</w:t>
            </w:r>
            <w:r w:rsidR="00AA1826">
              <w:rPr>
                <w:rFonts w:eastAsiaTheme="minorEastAsia"/>
                <w:noProof/>
                <w:lang w:eastAsia="pt-BR"/>
              </w:rPr>
              <w:tab/>
            </w:r>
            <w:r w:rsidR="00AA1826" w:rsidRPr="00AB0804">
              <w:rPr>
                <w:rStyle w:val="Hyperlink"/>
                <w:noProof/>
              </w:rPr>
              <w:t>Alocação no Segmento de Fundos Imobiliários</w:t>
            </w:r>
            <w:r w:rsidR="00AA1826">
              <w:rPr>
                <w:noProof/>
                <w:webHidden/>
              </w:rPr>
              <w:tab/>
            </w:r>
            <w:r w:rsidR="00AA1826">
              <w:rPr>
                <w:noProof/>
                <w:webHidden/>
              </w:rPr>
              <w:fldChar w:fldCharType="begin"/>
            </w:r>
            <w:r w:rsidR="00AA1826">
              <w:rPr>
                <w:noProof/>
                <w:webHidden/>
              </w:rPr>
              <w:instrText xml:space="preserve"> PAGEREF _Toc180593258 \h </w:instrText>
            </w:r>
            <w:r w:rsidR="00AA1826">
              <w:rPr>
                <w:noProof/>
                <w:webHidden/>
              </w:rPr>
            </w:r>
            <w:r w:rsidR="00AA1826">
              <w:rPr>
                <w:noProof/>
                <w:webHidden/>
              </w:rPr>
              <w:fldChar w:fldCharType="separate"/>
            </w:r>
            <w:r w:rsidR="006000B2">
              <w:rPr>
                <w:noProof/>
                <w:webHidden/>
              </w:rPr>
              <w:t>17</w:t>
            </w:r>
            <w:r w:rsidR="00AA1826">
              <w:rPr>
                <w:noProof/>
                <w:webHidden/>
              </w:rPr>
              <w:fldChar w:fldCharType="end"/>
            </w:r>
          </w:hyperlink>
        </w:p>
        <w:p w14:paraId="0B24F958" w14:textId="5DF6FDE2" w:rsidR="00AA1826" w:rsidRDefault="00F84129">
          <w:pPr>
            <w:pStyle w:val="Sumrio3"/>
            <w:tabs>
              <w:tab w:val="left" w:pos="1320"/>
              <w:tab w:val="right" w:leader="dot" w:pos="8494"/>
            </w:tabs>
            <w:rPr>
              <w:rFonts w:eastAsiaTheme="minorEastAsia"/>
              <w:noProof/>
              <w:lang w:eastAsia="pt-BR"/>
            </w:rPr>
          </w:pPr>
          <w:hyperlink w:anchor="_Toc180593259" w:history="1">
            <w:r w:rsidR="00AA1826" w:rsidRPr="00AB0804">
              <w:rPr>
                <w:rStyle w:val="Hyperlink"/>
                <w:noProof/>
              </w:rPr>
              <w:t>4.1.6.</w:t>
            </w:r>
            <w:r w:rsidR="00AA1826">
              <w:rPr>
                <w:rFonts w:eastAsiaTheme="minorEastAsia"/>
                <w:noProof/>
                <w:lang w:eastAsia="pt-BR"/>
              </w:rPr>
              <w:tab/>
            </w:r>
            <w:r w:rsidR="00AA1826" w:rsidRPr="00AB0804">
              <w:rPr>
                <w:rStyle w:val="Hyperlink"/>
                <w:noProof/>
              </w:rPr>
              <w:t>Alocação no Segmento de Empréstimos Consignados</w:t>
            </w:r>
            <w:r w:rsidR="00AA1826">
              <w:rPr>
                <w:noProof/>
                <w:webHidden/>
              </w:rPr>
              <w:tab/>
            </w:r>
            <w:r w:rsidR="00AA1826">
              <w:rPr>
                <w:noProof/>
                <w:webHidden/>
              </w:rPr>
              <w:fldChar w:fldCharType="begin"/>
            </w:r>
            <w:r w:rsidR="00AA1826">
              <w:rPr>
                <w:noProof/>
                <w:webHidden/>
              </w:rPr>
              <w:instrText xml:space="preserve"> PAGEREF _Toc180593259 \h </w:instrText>
            </w:r>
            <w:r w:rsidR="00AA1826">
              <w:rPr>
                <w:noProof/>
                <w:webHidden/>
              </w:rPr>
            </w:r>
            <w:r w:rsidR="00AA1826">
              <w:rPr>
                <w:noProof/>
                <w:webHidden/>
              </w:rPr>
              <w:fldChar w:fldCharType="separate"/>
            </w:r>
            <w:r w:rsidR="006000B2">
              <w:rPr>
                <w:noProof/>
                <w:webHidden/>
              </w:rPr>
              <w:t>17</w:t>
            </w:r>
            <w:r w:rsidR="00AA1826">
              <w:rPr>
                <w:noProof/>
                <w:webHidden/>
              </w:rPr>
              <w:fldChar w:fldCharType="end"/>
            </w:r>
          </w:hyperlink>
        </w:p>
        <w:p w14:paraId="247E4929" w14:textId="51CBD863" w:rsidR="00AA1826" w:rsidRDefault="00F84129">
          <w:pPr>
            <w:pStyle w:val="Sumrio1"/>
            <w:tabs>
              <w:tab w:val="left" w:pos="440"/>
              <w:tab w:val="right" w:leader="dot" w:pos="8494"/>
            </w:tabs>
            <w:rPr>
              <w:rFonts w:eastAsiaTheme="minorEastAsia"/>
              <w:noProof/>
              <w:lang w:eastAsia="pt-BR"/>
            </w:rPr>
          </w:pPr>
          <w:hyperlink w:anchor="_Toc180593260" w:history="1">
            <w:r w:rsidR="00AA1826" w:rsidRPr="00AB0804">
              <w:rPr>
                <w:rStyle w:val="Hyperlink"/>
                <w:noProof/>
              </w:rPr>
              <w:t>5.</w:t>
            </w:r>
            <w:r w:rsidR="00AA1826">
              <w:rPr>
                <w:rFonts w:eastAsiaTheme="minorEastAsia"/>
                <w:noProof/>
                <w:lang w:eastAsia="pt-BR"/>
              </w:rPr>
              <w:tab/>
            </w:r>
            <w:r w:rsidR="00AA1826" w:rsidRPr="00AB0804">
              <w:rPr>
                <w:rStyle w:val="Hyperlink"/>
                <w:noProof/>
              </w:rPr>
              <w:t>META ATUARIAL</w:t>
            </w:r>
            <w:r w:rsidR="00AA1826">
              <w:rPr>
                <w:noProof/>
                <w:webHidden/>
              </w:rPr>
              <w:tab/>
            </w:r>
            <w:r w:rsidR="00AA1826">
              <w:rPr>
                <w:noProof/>
                <w:webHidden/>
              </w:rPr>
              <w:fldChar w:fldCharType="begin"/>
            </w:r>
            <w:r w:rsidR="00AA1826">
              <w:rPr>
                <w:noProof/>
                <w:webHidden/>
              </w:rPr>
              <w:instrText xml:space="preserve"> PAGEREF _Toc180593260 \h </w:instrText>
            </w:r>
            <w:r w:rsidR="00AA1826">
              <w:rPr>
                <w:noProof/>
                <w:webHidden/>
              </w:rPr>
            </w:r>
            <w:r w:rsidR="00AA1826">
              <w:rPr>
                <w:noProof/>
                <w:webHidden/>
              </w:rPr>
              <w:fldChar w:fldCharType="separate"/>
            </w:r>
            <w:r w:rsidR="006000B2">
              <w:rPr>
                <w:noProof/>
                <w:webHidden/>
              </w:rPr>
              <w:t>19</w:t>
            </w:r>
            <w:r w:rsidR="00AA1826">
              <w:rPr>
                <w:noProof/>
                <w:webHidden/>
              </w:rPr>
              <w:fldChar w:fldCharType="end"/>
            </w:r>
          </w:hyperlink>
        </w:p>
        <w:p w14:paraId="1BC97979" w14:textId="72427E47" w:rsidR="00AA1826" w:rsidRDefault="00F84129">
          <w:pPr>
            <w:pStyle w:val="Sumrio1"/>
            <w:tabs>
              <w:tab w:val="left" w:pos="440"/>
              <w:tab w:val="right" w:leader="dot" w:pos="8494"/>
            </w:tabs>
            <w:rPr>
              <w:rFonts w:eastAsiaTheme="minorEastAsia"/>
              <w:noProof/>
              <w:lang w:eastAsia="pt-BR"/>
            </w:rPr>
          </w:pPr>
          <w:hyperlink w:anchor="_Toc180593261" w:history="1">
            <w:r w:rsidR="00AA1826" w:rsidRPr="00AB0804">
              <w:rPr>
                <w:rStyle w:val="Hyperlink"/>
                <w:noProof/>
              </w:rPr>
              <w:t>6.</w:t>
            </w:r>
            <w:r w:rsidR="00AA1826">
              <w:rPr>
                <w:rFonts w:eastAsiaTheme="minorEastAsia"/>
                <w:noProof/>
                <w:lang w:eastAsia="pt-BR"/>
              </w:rPr>
              <w:tab/>
            </w:r>
            <w:r w:rsidR="00AA1826" w:rsidRPr="00AB0804">
              <w:rPr>
                <w:rStyle w:val="Hyperlink"/>
                <w:noProof/>
              </w:rPr>
              <w:t>ESTRUTURA DE GESTÃO DOS ATIVOS</w:t>
            </w:r>
            <w:r w:rsidR="00AA1826">
              <w:rPr>
                <w:noProof/>
                <w:webHidden/>
              </w:rPr>
              <w:tab/>
            </w:r>
            <w:r w:rsidR="00AA1826">
              <w:rPr>
                <w:noProof/>
                <w:webHidden/>
              </w:rPr>
              <w:fldChar w:fldCharType="begin"/>
            </w:r>
            <w:r w:rsidR="00AA1826">
              <w:rPr>
                <w:noProof/>
                <w:webHidden/>
              </w:rPr>
              <w:instrText xml:space="preserve"> PAGEREF _Toc180593261 \h </w:instrText>
            </w:r>
            <w:r w:rsidR="00AA1826">
              <w:rPr>
                <w:noProof/>
                <w:webHidden/>
              </w:rPr>
            </w:r>
            <w:r w:rsidR="00AA1826">
              <w:rPr>
                <w:noProof/>
                <w:webHidden/>
              </w:rPr>
              <w:fldChar w:fldCharType="separate"/>
            </w:r>
            <w:r w:rsidR="006000B2">
              <w:rPr>
                <w:noProof/>
                <w:webHidden/>
              </w:rPr>
              <w:t>21</w:t>
            </w:r>
            <w:r w:rsidR="00AA1826">
              <w:rPr>
                <w:noProof/>
                <w:webHidden/>
              </w:rPr>
              <w:fldChar w:fldCharType="end"/>
            </w:r>
          </w:hyperlink>
        </w:p>
        <w:p w14:paraId="1B45C6B0" w14:textId="428CC086" w:rsidR="00AA1826" w:rsidRDefault="00F84129">
          <w:pPr>
            <w:pStyle w:val="Sumrio2"/>
            <w:tabs>
              <w:tab w:val="left" w:pos="880"/>
              <w:tab w:val="right" w:leader="dot" w:pos="8494"/>
            </w:tabs>
            <w:rPr>
              <w:rFonts w:eastAsiaTheme="minorEastAsia"/>
              <w:noProof/>
              <w:lang w:eastAsia="pt-BR"/>
            </w:rPr>
          </w:pPr>
          <w:hyperlink w:anchor="_Toc180593262" w:history="1">
            <w:r w:rsidR="00AA1826" w:rsidRPr="00AB0804">
              <w:rPr>
                <w:rStyle w:val="Hyperlink"/>
                <w:noProof/>
              </w:rPr>
              <w:t>6.1.</w:t>
            </w:r>
            <w:r w:rsidR="00AA1826">
              <w:rPr>
                <w:rFonts w:eastAsiaTheme="minorEastAsia"/>
                <w:noProof/>
                <w:lang w:eastAsia="pt-BR"/>
              </w:rPr>
              <w:tab/>
            </w:r>
            <w:r w:rsidR="00AA1826" w:rsidRPr="00AB0804">
              <w:rPr>
                <w:rStyle w:val="Hyperlink"/>
                <w:noProof/>
              </w:rPr>
              <w:t>Gestão Própria</w:t>
            </w:r>
            <w:r w:rsidR="00AA1826">
              <w:rPr>
                <w:noProof/>
                <w:webHidden/>
              </w:rPr>
              <w:tab/>
            </w:r>
            <w:r w:rsidR="00AA1826">
              <w:rPr>
                <w:noProof/>
                <w:webHidden/>
              </w:rPr>
              <w:fldChar w:fldCharType="begin"/>
            </w:r>
            <w:r w:rsidR="00AA1826">
              <w:rPr>
                <w:noProof/>
                <w:webHidden/>
              </w:rPr>
              <w:instrText xml:space="preserve"> PAGEREF _Toc180593262 \h </w:instrText>
            </w:r>
            <w:r w:rsidR="00AA1826">
              <w:rPr>
                <w:noProof/>
                <w:webHidden/>
              </w:rPr>
            </w:r>
            <w:r w:rsidR="00AA1826">
              <w:rPr>
                <w:noProof/>
                <w:webHidden/>
              </w:rPr>
              <w:fldChar w:fldCharType="separate"/>
            </w:r>
            <w:r w:rsidR="006000B2">
              <w:rPr>
                <w:noProof/>
                <w:webHidden/>
              </w:rPr>
              <w:t>21</w:t>
            </w:r>
            <w:r w:rsidR="00AA1826">
              <w:rPr>
                <w:noProof/>
                <w:webHidden/>
              </w:rPr>
              <w:fldChar w:fldCharType="end"/>
            </w:r>
          </w:hyperlink>
        </w:p>
        <w:p w14:paraId="5EE41C76" w14:textId="44157155" w:rsidR="00AA1826" w:rsidRDefault="00F84129">
          <w:pPr>
            <w:pStyle w:val="Sumrio2"/>
            <w:tabs>
              <w:tab w:val="left" w:pos="880"/>
              <w:tab w:val="right" w:leader="dot" w:pos="8494"/>
            </w:tabs>
            <w:rPr>
              <w:rFonts w:eastAsiaTheme="minorEastAsia"/>
              <w:noProof/>
              <w:lang w:eastAsia="pt-BR"/>
            </w:rPr>
          </w:pPr>
          <w:hyperlink w:anchor="_Toc180593263" w:history="1">
            <w:r w:rsidR="00AA1826" w:rsidRPr="00AB0804">
              <w:rPr>
                <w:rStyle w:val="Hyperlink"/>
                <w:noProof/>
              </w:rPr>
              <w:t>6.2.</w:t>
            </w:r>
            <w:r w:rsidR="00AA1826">
              <w:rPr>
                <w:rFonts w:eastAsiaTheme="minorEastAsia"/>
                <w:noProof/>
                <w:lang w:eastAsia="pt-BR"/>
              </w:rPr>
              <w:tab/>
            </w:r>
            <w:r w:rsidR="00AA1826" w:rsidRPr="00AB0804">
              <w:rPr>
                <w:rStyle w:val="Hyperlink"/>
                <w:noProof/>
              </w:rPr>
              <w:t>Órgãos de Execução</w:t>
            </w:r>
            <w:r w:rsidR="00AA1826">
              <w:rPr>
                <w:noProof/>
                <w:webHidden/>
              </w:rPr>
              <w:tab/>
            </w:r>
            <w:r w:rsidR="00AA1826">
              <w:rPr>
                <w:noProof/>
                <w:webHidden/>
              </w:rPr>
              <w:fldChar w:fldCharType="begin"/>
            </w:r>
            <w:r w:rsidR="00AA1826">
              <w:rPr>
                <w:noProof/>
                <w:webHidden/>
              </w:rPr>
              <w:instrText xml:space="preserve"> PAGEREF _Toc180593263 \h </w:instrText>
            </w:r>
            <w:r w:rsidR="00AA1826">
              <w:rPr>
                <w:noProof/>
                <w:webHidden/>
              </w:rPr>
            </w:r>
            <w:r w:rsidR="00AA1826">
              <w:rPr>
                <w:noProof/>
                <w:webHidden/>
              </w:rPr>
              <w:fldChar w:fldCharType="separate"/>
            </w:r>
            <w:r w:rsidR="006000B2">
              <w:rPr>
                <w:noProof/>
                <w:webHidden/>
              </w:rPr>
              <w:t>21</w:t>
            </w:r>
            <w:r w:rsidR="00AA1826">
              <w:rPr>
                <w:noProof/>
                <w:webHidden/>
              </w:rPr>
              <w:fldChar w:fldCharType="end"/>
            </w:r>
          </w:hyperlink>
        </w:p>
        <w:p w14:paraId="7024C27E" w14:textId="58ACD37F" w:rsidR="00AA1826" w:rsidRDefault="00F84129">
          <w:pPr>
            <w:pStyle w:val="Sumrio1"/>
            <w:tabs>
              <w:tab w:val="left" w:pos="440"/>
              <w:tab w:val="right" w:leader="dot" w:pos="8494"/>
            </w:tabs>
            <w:rPr>
              <w:rFonts w:eastAsiaTheme="minorEastAsia"/>
              <w:noProof/>
              <w:lang w:eastAsia="pt-BR"/>
            </w:rPr>
          </w:pPr>
          <w:hyperlink w:anchor="_Toc180593264" w:history="1">
            <w:r w:rsidR="00AA1826" w:rsidRPr="00AB0804">
              <w:rPr>
                <w:rStyle w:val="Hyperlink"/>
                <w:noProof/>
              </w:rPr>
              <w:t>7.</w:t>
            </w:r>
            <w:r w:rsidR="00AA1826">
              <w:rPr>
                <w:rFonts w:eastAsiaTheme="minorEastAsia"/>
                <w:noProof/>
                <w:lang w:eastAsia="pt-BR"/>
              </w:rPr>
              <w:tab/>
            </w:r>
            <w:r w:rsidR="00AA1826" w:rsidRPr="00AB0804">
              <w:rPr>
                <w:rStyle w:val="Hyperlink"/>
                <w:noProof/>
              </w:rPr>
              <w:t>CONTROLE DE RISCO</w:t>
            </w:r>
            <w:r w:rsidR="00AA1826">
              <w:rPr>
                <w:noProof/>
                <w:webHidden/>
              </w:rPr>
              <w:tab/>
            </w:r>
            <w:r w:rsidR="00AA1826">
              <w:rPr>
                <w:noProof/>
                <w:webHidden/>
              </w:rPr>
              <w:fldChar w:fldCharType="begin"/>
            </w:r>
            <w:r w:rsidR="00AA1826">
              <w:rPr>
                <w:noProof/>
                <w:webHidden/>
              </w:rPr>
              <w:instrText xml:space="preserve"> PAGEREF _Toc180593264 \h </w:instrText>
            </w:r>
            <w:r w:rsidR="00AA1826">
              <w:rPr>
                <w:noProof/>
                <w:webHidden/>
              </w:rPr>
            </w:r>
            <w:r w:rsidR="00AA1826">
              <w:rPr>
                <w:noProof/>
                <w:webHidden/>
              </w:rPr>
              <w:fldChar w:fldCharType="separate"/>
            </w:r>
            <w:r w:rsidR="006000B2">
              <w:rPr>
                <w:noProof/>
                <w:webHidden/>
              </w:rPr>
              <w:t>22</w:t>
            </w:r>
            <w:r w:rsidR="00AA1826">
              <w:rPr>
                <w:noProof/>
                <w:webHidden/>
              </w:rPr>
              <w:fldChar w:fldCharType="end"/>
            </w:r>
          </w:hyperlink>
        </w:p>
        <w:p w14:paraId="4D463DA1" w14:textId="57889AC4" w:rsidR="00AA1826" w:rsidRDefault="00F84129">
          <w:pPr>
            <w:pStyle w:val="Sumrio2"/>
            <w:tabs>
              <w:tab w:val="left" w:pos="880"/>
              <w:tab w:val="right" w:leader="dot" w:pos="8494"/>
            </w:tabs>
            <w:rPr>
              <w:rFonts w:eastAsiaTheme="minorEastAsia"/>
              <w:noProof/>
              <w:lang w:eastAsia="pt-BR"/>
            </w:rPr>
          </w:pPr>
          <w:hyperlink w:anchor="_Toc180593265" w:history="1">
            <w:r w:rsidR="00AA1826" w:rsidRPr="00AB0804">
              <w:rPr>
                <w:rStyle w:val="Hyperlink"/>
                <w:noProof/>
              </w:rPr>
              <w:t>7.1.</w:t>
            </w:r>
            <w:r w:rsidR="00AA1826">
              <w:rPr>
                <w:rFonts w:eastAsiaTheme="minorEastAsia"/>
                <w:noProof/>
                <w:lang w:eastAsia="pt-BR"/>
              </w:rPr>
              <w:tab/>
            </w:r>
            <w:r w:rsidR="00AA1826" w:rsidRPr="00AB0804">
              <w:rPr>
                <w:rStyle w:val="Hyperlink"/>
                <w:noProof/>
              </w:rPr>
              <w:t>Controle de Risco de Mercado</w:t>
            </w:r>
            <w:r w:rsidR="00AA1826">
              <w:rPr>
                <w:noProof/>
                <w:webHidden/>
              </w:rPr>
              <w:tab/>
            </w:r>
            <w:r w:rsidR="00AA1826">
              <w:rPr>
                <w:noProof/>
                <w:webHidden/>
              </w:rPr>
              <w:fldChar w:fldCharType="begin"/>
            </w:r>
            <w:r w:rsidR="00AA1826">
              <w:rPr>
                <w:noProof/>
                <w:webHidden/>
              </w:rPr>
              <w:instrText xml:space="preserve"> PAGEREF _Toc180593265 \h </w:instrText>
            </w:r>
            <w:r w:rsidR="00AA1826">
              <w:rPr>
                <w:noProof/>
                <w:webHidden/>
              </w:rPr>
            </w:r>
            <w:r w:rsidR="00AA1826">
              <w:rPr>
                <w:noProof/>
                <w:webHidden/>
              </w:rPr>
              <w:fldChar w:fldCharType="separate"/>
            </w:r>
            <w:r w:rsidR="006000B2">
              <w:rPr>
                <w:noProof/>
                <w:webHidden/>
              </w:rPr>
              <w:t>22</w:t>
            </w:r>
            <w:r w:rsidR="00AA1826">
              <w:rPr>
                <w:noProof/>
                <w:webHidden/>
              </w:rPr>
              <w:fldChar w:fldCharType="end"/>
            </w:r>
          </w:hyperlink>
        </w:p>
        <w:p w14:paraId="1AB72C06" w14:textId="377D9A4A" w:rsidR="00AA1826" w:rsidRDefault="00F84129">
          <w:pPr>
            <w:pStyle w:val="Sumrio2"/>
            <w:tabs>
              <w:tab w:val="left" w:pos="880"/>
              <w:tab w:val="right" w:leader="dot" w:pos="8494"/>
            </w:tabs>
            <w:rPr>
              <w:rFonts w:eastAsiaTheme="minorEastAsia"/>
              <w:noProof/>
              <w:lang w:eastAsia="pt-BR"/>
            </w:rPr>
          </w:pPr>
          <w:hyperlink w:anchor="_Toc180593266" w:history="1">
            <w:r w:rsidR="00AA1826" w:rsidRPr="00AB0804">
              <w:rPr>
                <w:rStyle w:val="Hyperlink"/>
                <w:noProof/>
              </w:rPr>
              <w:t>7.2.</w:t>
            </w:r>
            <w:r w:rsidR="00AA1826">
              <w:rPr>
                <w:rFonts w:eastAsiaTheme="minorEastAsia"/>
                <w:noProof/>
                <w:lang w:eastAsia="pt-BR"/>
              </w:rPr>
              <w:tab/>
            </w:r>
            <w:r w:rsidR="00AA1826" w:rsidRPr="00AB0804">
              <w:rPr>
                <w:rStyle w:val="Hyperlink"/>
                <w:noProof/>
              </w:rPr>
              <w:t>Controle do Risco de Crédito</w:t>
            </w:r>
            <w:r w:rsidR="00AA1826">
              <w:rPr>
                <w:noProof/>
                <w:webHidden/>
              </w:rPr>
              <w:tab/>
            </w:r>
            <w:r w:rsidR="00AA1826">
              <w:rPr>
                <w:noProof/>
                <w:webHidden/>
              </w:rPr>
              <w:fldChar w:fldCharType="begin"/>
            </w:r>
            <w:r w:rsidR="00AA1826">
              <w:rPr>
                <w:noProof/>
                <w:webHidden/>
              </w:rPr>
              <w:instrText xml:space="preserve"> PAGEREF _Toc180593266 \h </w:instrText>
            </w:r>
            <w:r w:rsidR="00AA1826">
              <w:rPr>
                <w:noProof/>
                <w:webHidden/>
              </w:rPr>
            </w:r>
            <w:r w:rsidR="00AA1826">
              <w:rPr>
                <w:noProof/>
                <w:webHidden/>
              </w:rPr>
              <w:fldChar w:fldCharType="separate"/>
            </w:r>
            <w:r w:rsidR="006000B2">
              <w:rPr>
                <w:noProof/>
                <w:webHidden/>
              </w:rPr>
              <w:t>23</w:t>
            </w:r>
            <w:r w:rsidR="00AA1826">
              <w:rPr>
                <w:noProof/>
                <w:webHidden/>
              </w:rPr>
              <w:fldChar w:fldCharType="end"/>
            </w:r>
          </w:hyperlink>
        </w:p>
        <w:p w14:paraId="00209031" w14:textId="32C4E523" w:rsidR="00AA1826" w:rsidRDefault="00F84129">
          <w:pPr>
            <w:pStyle w:val="Sumrio2"/>
            <w:tabs>
              <w:tab w:val="left" w:pos="880"/>
              <w:tab w:val="right" w:leader="dot" w:pos="8494"/>
            </w:tabs>
            <w:rPr>
              <w:rFonts w:eastAsiaTheme="minorEastAsia"/>
              <w:noProof/>
              <w:lang w:eastAsia="pt-BR"/>
            </w:rPr>
          </w:pPr>
          <w:hyperlink w:anchor="_Toc180593267" w:history="1">
            <w:r w:rsidR="00AA1826" w:rsidRPr="00AB0804">
              <w:rPr>
                <w:rStyle w:val="Hyperlink"/>
                <w:noProof/>
              </w:rPr>
              <w:t>7.3.</w:t>
            </w:r>
            <w:r w:rsidR="00AA1826">
              <w:rPr>
                <w:rFonts w:eastAsiaTheme="minorEastAsia"/>
                <w:noProof/>
                <w:lang w:eastAsia="pt-BR"/>
              </w:rPr>
              <w:tab/>
            </w:r>
            <w:r w:rsidR="00AA1826" w:rsidRPr="00AB0804">
              <w:rPr>
                <w:rStyle w:val="Hyperlink"/>
                <w:noProof/>
              </w:rPr>
              <w:t>Controle do Risco de Liquidez</w:t>
            </w:r>
            <w:r w:rsidR="00AA1826">
              <w:rPr>
                <w:noProof/>
                <w:webHidden/>
              </w:rPr>
              <w:tab/>
            </w:r>
            <w:r w:rsidR="00AA1826">
              <w:rPr>
                <w:noProof/>
                <w:webHidden/>
              </w:rPr>
              <w:fldChar w:fldCharType="begin"/>
            </w:r>
            <w:r w:rsidR="00AA1826">
              <w:rPr>
                <w:noProof/>
                <w:webHidden/>
              </w:rPr>
              <w:instrText xml:space="preserve"> PAGEREF _Toc180593267 \h </w:instrText>
            </w:r>
            <w:r w:rsidR="00AA1826">
              <w:rPr>
                <w:noProof/>
                <w:webHidden/>
              </w:rPr>
            </w:r>
            <w:r w:rsidR="00AA1826">
              <w:rPr>
                <w:noProof/>
                <w:webHidden/>
              </w:rPr>
              <w:fldChar w:fldCharType="separate"/>
            </w:r>
            <w:r w:rsidR="006000B2">
              <w:rPr>
                <w:noProof/>
                <w:webHidden/>
              </w:rPr>
              <w:t>23</w:t>
            </w:r>
            <w:r w:rsidR="00AA1826">
              <w:rPr>
                <w:noProof/>
                <w:webHidden/>
              </w:rPr>
              <w:fldChar w:fldCharType="end"/>
            </w:r>
          </w:hyperlink>
        </w:p>
        <w:p w14:paraId="7C484924" w14:textId="361890CF" w:rsidR="00AA1826" w:rsidRDefault="00F84129">
          <w:pPr>
            <w:pStyle w:val="Sumrio1"/>
            <w:tabs>
              <w:tab w:val="left" w:pos="440"/>
              <w:tab w:val="right" w:leader="dot" w:pos="8494"/>
            </w:tabs>
            <w:rPr>
              <w:rFonts w:eastAsiaTheme="minorEastAsia"/>
              <w:noProof/>
              <w:lang w:eastAsia="pt-BR"/>
            </w:rPr>
          </w:pPr>
          <w:hyperlink w:anchor="_Toc180593268" w:history="1">
            <w:r w:rsidR="00AA1826" w:rsidRPr="00AB0804">
              <w:rPr>
                <w:rStyle w:val="Hyperlink"/>
                <w:noProof/>
              </w:rPr>
              <w:t>8.</w:t>
            </w:r>
            <w:r w:rsidR="00AA1826">
              <w:rPr>
                <w:rFonts w:eastAsiaTheme="minorEastAsia"/>
                <w:noProof/>
                <w:lang w:eastAsia="pt-BR"/>
              </w:rPr>
              <w:tab/>
            </w:r>
            <w:r w:rsidR="00AA1826" w:rsidRPr="00AB0804">
              <w:rPr>
                <w:rStyle w:val="Hyperlink"/>
                <w:noProof/>
              </w:rPr>
              <w:t>POLÍTICA DE TRANSPARÊNCIA</w:t>
            </w:r>
            <w:r w:rsidR="00AA1826">
              <w:rPr>
                <w:noProof/>
                <w:webHidden/>
              </w:rPr>
              <w:tab/>
            </w:r>
            <w:r w:rsidR="00AA1826">
              <w:rPr>
                <w:noProof/>
                <w:webHidden/>
              </w:rPr>
              <w:fldChar w:fldCharType="begin"/>
            </w:r>
            <w:r w:rsidR="00AA1826">
              <w:rPr>
                <w:noProof/>
                <w:webHidden/>
              </w:rPr>
              <w:instrText xml:space="preserve"> PAGEREF _Toc180593268 \h </w:instrText>
            </w:r>
            <w:r w:rsidR="00AA1826">
              <w:rPr>
                <w:noProof/>
                <w:webHidden/>
              </w:rPr>
            </w:r>
            <w:r w:rsidR="00AA1826">
              <w:rPr>
                <w:noProof/>
                <w:webHidden/>
              </w:rPr>
              <w:fldChar w:fldCharType="separate"/>
            </w:r>
            <w:r w:rsidR="006000B2">
              <w:rPr>
                <w:noProof/>
                <w:webHidden/>
              </w:rPr>
              <w:t>24</w:t>
            </w:r>
            <w:r w:rsidR="00AA1826">
              <w:rPr>
                <w:noProof/>
                <w:webHidden/>
              </w:rPr>
              <w:fldChar w:fldCharType="end"/>
            </w:r>
          </w:hyperlink>
        </w:p>
        <w:p w14:paraId="7C2AE3C3" w14:textId="07A33077" w:rsidR="00AA1826" w:rsidRDefault="00F84129">
          <w:pPr>
            <w:pStyle w:val="Sumrio1"/>
            <w:tabs>
              <w:tab w:val="left" w:pos="440"/>
              <w:tab w:val="right" w:leader="dot" w:pos="8494"/>
            </w:tabs>
            <w:rPr>
              <w:rFonts w:eastAsiaTheme="minorEastAsia"/>
              <w:noProof/>
              <w:lang w:eastAsia="pt-BR"/>
            </w:rPr>
          </w:pPr>
          <w:hyperlink w:anchor="_Toc180593269" w:history="1">
            <w:r w:rsidR="00AA1826" w:rsidRPr="00AB0804">
              <w:rPr>
                <w:rStyle w:val="Hyperlink"/>
                <w:noProof/>
              </w:rPr>
              <w:t>9.</w:t>
            </w:r>
            <w:r w:rsidR="00AA1826">
              <w:rPr>
                <w:rFonts w:eastAsiaTheme="minorEastAsia"/>
                <w:noProof/>
                <w:lang w:eastAsia="pt-BR"/>
              </w:rPr>
              <w:tab/>
            </w:r>
            <w:r w:rsidR="00AA1826" w:rsidRPr="00AB0804">
              <w:rPr>
                <w:rStyle w:val="Hyperlink"/>
                <w:noProof/>
              </w:rPr>
              <w:t>CRITÉRIOS DE CREDENCIAMENTO</w:t>
            </w:r>
            <w:r w:rsidR="00AA1826">
              <w:rPr>
                <w:noProof/>
                <w:webHidden/>
              </w:rPr>
              <w:tab/>
            </w:r>
            <w:r w:rsidR="00AA1826">
              <w:rPr>
                <w:noProof/>
                <w:webHidden/>
              </w:rPr>
              <w:fldChar w:fldCharType="begin"/>
            </w:r>
            <w:r w:rsidR="00AA1826">
              <w:rPr>
                <w:noProof/>
                <w:webHidden/>
              </w:rPr>
              <w:instrText xml:space="preserve"> PAGEREF _Toc180593269 \h </w:instrText>
            </w:r>
            <w:r w:rsidR="00AA1826">
              <w:rPr>
                <w:noProof/>
                <w:webHidden/>
              </w:rPr>
            </w:r>
            <w:r w:rsidR="00AA1826">
              <w:rPr>
                <w:noProof/>
                <w:webHidden/>
              </w:rPr>
              <w:fldChar w:fldCharType="separate"/>
            </w:r>
            <w:r w:rsidR="006000B2">
              <w:rPr>
                <w:noProof/>
                <w:webHidden/>
              </w:rPr>
              <w:t>25</w:t>
            </w:r>
            <w:r w:rsidR="00AA1826">
              <w:rPr>
                <w:noProof/>
                <w:webHidden/>
              </w:rPr>
              <w:fldChar w:fldCharType="end"/>
            </w:r>
          </w:hyperlink>
        </w:p>
        <w:p w14:paraId="14709778" w14:textId="477E83BC" w:rsidR="00AA1826" w:rsidRDefault="00F84129">
          <w:pPr>
            <w:pStyle w:val="Sumrio2"/>
            <w:tabs>
              <w:tab w:val="left" w:pos="880"/>
              <w:tab w:val="right" w:leader="dot" w:pos="8494"/>
            </w:tabs>
            <w:rPr>
              <w:rFonts w:eastAsiaTheme="minorEastAsia"/>
              <w:noProof/>
              <w:lang w:eastAsia="pt-BR"/>
            </w:rPr>
          </w:pPr>
          <w:hyperlink w:anchor="_Toc180593270" w:history="1">
            <w:r w:rsidR="00AA1826" w:rsidRPr="00AB0804">
              <w:rPr>
                <w:rStyle w:val="Hyperlink"/>
                <w:noProof/>
              </w:rPr>
              <w:t>9.1.</w:t>
            </w:r>
            <w:r w:rsidR="00AA1826">
              <w:rPr>
                <w:rFonts w:eastAsiaTheme="minorEastAsia"/>
                <w:noProof/>
                <w:lang w:eastAsia="pt-BR"/>
              </w:rPr>
              <w:tab/>
            </w:r>
            <w:r w:rsidR="00AA1826" w:rsidRPr="00AB0804">
              <w:rPr>
                <w:rStyle w:val="Hyperlink"/>
                <w:noProof/>
              </w:rPr>
              <w:t>Processo de Avaliação dos Gestores/Administradores</w:t>
            </w:r>
            <w:r w:rsidR="00AA1826">
              <w:rPr>
                <w:noProof/>
                <w:webHidden/>
              </w:rPr>
              <w:tab/>
            </w:r>
            <w:r w:rsidR="00AA1826">
              <w:rPr>
                <w:noProof/>
                <w:webHidden/>
              </w:rPr>
              <w:fldChar w:fldCharType="begin"/>
            </w:r>
            <w:r w:rsidR="00AA1826">
              <w:rPr>
                <w:noProof/>
                <w:webHidden/>
              </w:rPr>
              <w:instrText xml:space="preserve"> PAGEREF _Toc180593270 \h </w:instrText>
            </w:r>
            <w:r w:rsidR="00AA1826">
              <w:rPr>
                <w:noProof/>
                <w:webHidden/>
              </w:rPr>
            </w:r>
            <w:r w:rsidR="00AA1826">
              <w:rPr>
                <w:noProof/>
                <w:webHidden/>
              </w:rPr>
              <w:fldChar w:fldCharType="separate"/>
            </w:r>
            <w:r w:rsidR="006000B2">
              <w:rPr>
                <w:noProof/>
                <w:webHidden/>
              </w:rPr>
              <w:t>25</w:t>
            </w:r>
            <w:r w:rsidR="00AA1826">
              <w:rPr>
                <w:noProof/>
                <w:webHidden/>
              </w:rPr>
              <w:fldChar w:fldCharType="end"/>
            </w:r>
          </w:hyperlink>
        </w:p>
        <w:p w14:paraId="3E6F922A" w14:textId="576A480E" w:rsidR="00AA1826" w:rsidRDefault="00F84129">
          <w:pPr>
            <w:pStyle w:val="Sumrio1"/>
            <w:tabs>
              <w:tab w:val="left" w:pos="660"/>
              <w:tab w:val="right" w:leader="dot" w:pos="8494"/>
            </w:tabs>
            <w:rPr>
              <w:rFonts w:eastAsiaTheme="minorEastAsia"/>
              <w:noProof/>
              <w:lang w:eastAsia="pt-BR"/>
            </w:rPr>
          </w:pPr>
          <w:hyperlink w:anchor="_Toc180593271" w:history="1">
            <w:r w:rsidR="00AA1826" w:rsidRPr="00AB0804">
              <w:rPr>
                <w:rStyle w:val="Hyperlink"/>
                <w:noProof/>
              </w:rPr>
              <w:t>10.</w:t>
            </w:r>
            <w:r w:rsidR="00AA1826">
              <w:rPr>
                <w:rFonts w:eastAsiaTheme="minorEastAsia"/>
                <w:noProof/>
                <w:lang w:eastAsia="pt-BR"/>
              </w:rPr>
              <w:tab/>
            </w:r>
            <w:r w:rsidR="00AA1826" w:rsidRPr="00AB0804">
              <w:rPr>
                <w:rStyle w:val="Hyperlink"/>
                <w:noProof/>
              </w:rPr>
              <w:t>CONTROLES INTERNOS</w:t>
            </w:r>
            <w:r w:rsidR="00AA1826">
              <w:rPr>
                <w:noProof/>
                <w:webHidden/>
              </w:rPr>
              <w:tab/>
            </w:r>
            <w:r w:rsidR="00AA1826">
              <w:rPr>
                <w:noProof/>
                <w:webHidden/>
              </w:rPr>
              <w:fldChar w:fldCharType="begin"/>
            </w:r>
            <w:r w:rsidR="00AA1826">
              <w:rPr>
                <w:noProof/>
                <w:webHidden/>
              </w:rPr>
              <w:instrText xml:space="preserve"> PAGEREF _Toc180593271 \h </w:instrText>
            </w:r>
            <w:r w:rsidR="00AA1826">
              <w:rPr>
                <w:noProof/>
                <w:webHidden/>
              </w:rPr>
            </w:r>
            <w:r w:rsidR="00AA1826">
              <w:rPr>
                <w:noProof/>
                <w:webHidden/>
              </w:rPr>
              <w:fldChar w:fldCharType="separate"/>
            </w:r>
            <w:r w:rsidR="006000B2">
              <w:rPr>
                <w:noProof/>
                <w:webHidden/>
              </w:rPr>
              <w:t>27</w:t>
            </w:r>
            <w:r w:rsidR="00AA1826">
              <w:rPr>
                <w:noProof/>
                <w:webHidden/>
              </w:rPr>
              <w:fldChar w:fldCharType="end"/>
            </w:r>
          </w:hyperlink>
        </w:p>
        <w:p w14:paraId="5947183E" w14:textId="7C8EA073" w:rsidR="00AA1826" w:rsidRDefault="00F84129">
          <w:pPr>
            <w:pStyle w:val="Sumrio1"/>
            <w:tabs>
              <w:tab w:val="left" w:pos="660"/>
              <w:tab w:val="right" w:leader="dot" w:pos="8494"/>
            </w:tabs>
            <w:rPr>
              <w:rFonts w:eastAsiaTheme="minorEastAsia"/>
              <w:noProof/>
              <w:lang w:eastAsia="pt-BR"/>
            </w:rPr>
          </w:pPr>
          <w:hyperlink w:anchor="_Toc180593272" w:history="1">
            <w:r w:rsidR="00AA1826" w:rsidRPr="00AB0804">
              <w:rPr>
                <w:rStyle w:val="Hyperlink"/>
                <w:noProof/>
              </w:rPr>
              <w:t>11.</w:t>
            </w:r>
            <w:r w:rsidR="00AA1826">
              <w:rPr>
                <w:rFonts w:eastAsiaTheme="minorEastAsia"/>
                <w:noProof/>
                <w:lang w:eastAsia="pt-BR"/>
              </w:rPr>
              <w:tab/>
            </w:r>
            <w:r w:rsidR="00AA1826" w:rsidRPr="00AB0804">
              <w:rPr>
                <w:rStyle w:val="Hyperlink"/>
                <w:noProof/>
              </w:rPr>
              <w:t>DISPOSIÇÕES GERAIS</w:t>
            </w:r>
            <w:r w:rsidR="00AA1826">
              <w:rPr>
                <w:noProof/>
                <w:webHidden/>
              </w:rPr>
              <w:tab/>
            </w:r>
            <w:r w:rsidR="00AA1826">
              <w:rPr>
                <w:noProof/>
                <w:webHidden/>
              </w:rPr>
              <w:fldChar w:fldCharType="begin"/>
            </w:r>
            <w:r w:rsidR="00AA1826">
              <w:rPr>
                <w:noProof/>
                <w:webHidden/>
              </w:rPr>
              <w:instrText xml:space="preserve"> PAGEREF _Toc180593272 \h </w:instrText>
            </w:r>
            <w:r w:rsidR="00AA1826">
              <w:rPr>
                <w:noProof/>
                <w:webHidden/>
              </w:rPr>
            </w:r>
            <w:r w:rsidR="00AA1826">
              <w:rPr>
                <w:noProof/>
                <w:webHidden/>
              </w:rPr>
              <w:fldChar w:fldCharType="separate"/>
            </w:r>
            <w:r w:rsidR="006000B2">
              <w:rPr>
                <w:noProof/>
                <w:webHidden/>
              </w:rPr>
              <w:t>29</w:t>
            </w:r>
            <w:r w:rsidR="00AA1826">
              <w:rPr>
                <w:noProof/>
                <w:webHidden/>
              </w:rPr>
              <w:fldChar w:fldCharType="end"/>
            </w:r>
          </w:hyperlink>
        </w:p>
        <w:p w14:paraId="0155EC58" w14:textId="591E0CC4" w:rsidR="0011672B" w:rsidRPr="00AD3A66" w:rsidRDefault="0011672B">
          <w:pPr>
            <w:rPr>
              <w:rFonts w:ascii="Calibri" w:hAnsi="Calibri" w:cs="Calibri"/>
              <w:sz w:val="20"/>
              <w:szCs w:val="20"/>
            </w:rPr>
          </w:pPr>
          <w:r w:rsidRPr="00AD3A66">
            <w:rPr>
              <w:rFonts w:ascii="Calibri" w:hAnsi="Calibri" w:cs="Calibri"/>
              <w:b/>
              <w:bCs/>
              <w:sz w:val="20"/>
              <w:szCs w:val="20"/>
            </w:rPr>
            <w:fldChar w:fldCharType="end"/>
          </w:r>
        </w:p>
      </w:sdtContent>
    </w:sdt>
    <w:p w14:paraId="5858AA15" w14:textId="60057E1B" w:rsidR="0011672B" w:rsidRDefault="0011672B" w:rsidP="00BE3389">
      <w:pPr>
        <w:ind w:right="-568"/>
        <w:jc w:val="both"/>
        <w:rPr>
          <w:rFonts w:ascii="Calibri" w:hAnsi="Calibri" w:cs="Calibri"/>
          <w:b/>
        </w:rPr>
      </w:pPr>
    </w:p>
    <w:p w14:paraId="4DC3C293" w14:textId="6703A0C5" w:rsidR="001357D8" w:rsidRDefault="001357D8" w:rsidP="00BE3389">
      <w:pPr>
        <w:ind w:right="-568"/>
        <w:jc w:val="both"/>
        <w:rPr>
          <w:rFonts w:ascii="Calibri" w:hAnsi="Calibri" w:cs="Calibri"/>
          <w:b/>
        </w:rPr>
      </w:pPr>
    </w:p>
    <w:p w14:paraId="48119A33" w14:textId="77777777" w:rsidR="001357D8" w:rsidRDefault="001357D8" w:rsidP="00BE3389">
      <w:pPr>
        <w:ind w:right="-568"/>
        <w:jc w:val="both"/>
        <w:rPr>
          <w:rFonts w:ascii="Calibri" w:hAnsi="Calibri" w:cs="Calibri"/>
          <w:b/>
        </w:rPr>
      </w:pPr>
    </w:p>
    <w:p w14:paraId="2F533527" w14:textId="77777777" w:rsidR="00092967" w:rsidRDefault="00840B67" w:rsidP="001837C5">
      <w:pPr>
        <w:pStyle w:val="Ttulo1"/>
        <w:numPr>
          <w:ilvl w:val="0"/>
          <w:numId w:val="10"/>
        </w:numPr>
      </w:pPr>
      <w:bookmarkStart w:id="0" w:name="_Toc180593246"/>
      <w:r>
        <w:t>INTRODUÇÃO</w:t>
      </w:r>
      <w:bookmarkEnd w:id="0"/>
    </w:p>
    <w:p w14:paraId="262AF1A9" w14:textId="77777777" w:rsidR="00840B67" w:rsidRDefault="00840B67" w:rsidP="00840B67">
      <w:pPr>
        <w:jc w:val="both"/>
        <w:rPr>
          <w:rFonts w:ascii="Calibri" w:hAnsi="Calibri" w:cs="Calibri"/>
        </w:rPr>
      </w:pPr>
    </w:p>
    <w:p w14:paraId="5885A7BA" w14:textId="2E55284B" w:rsidR="00840B67" w:rsidRPr="00840B67" w:rsidRDefault="00840B67" w:rsidP="00840B67">
      <w:pPr>
        <w:ind w:firstLine="708"/>
        <w:jc w:val="both"/>
        <w:rPr>
          <w:rFonts w:ascii="Calibri" w:hAnsi="Calibri" w:cs="Calibri"/>
        </w:rPr>
      </w:pPr>
      <w:r w:rsidRPr="00840B67">
        <w:rPr>
          <w:rFonts w:ascii="Calibri" w:hAnsi="Calibri" w:cs="Calibri"/>
        </w:rPr>
        <w:t xml:space="preserve">Atendendo à Resolução do Conselho Monetário Nacional - CMN nº </w:t>
      </w:r>
      <w:r w:rsidR="004B7986">
        <w:rPr>
          <w:rFonts w:ascii="Calibri" w:hAnsi="Calibri" w:cs="Calibri"/>
        </w:rPr>
        <w:t>4.963, de 25 de novembro de 2021</w:t>
      </w:r>
      <w:r w:rsidRPr="00840B67">
        <w:rPr>
          <w:rFonts w:ascii="Calibri" w:hAnsi="Calibri" w:cs="Calibri"/>
        </w:rPr>
        <w:t>, o Comitê de Investimentos</w:t>
      </w:r>
      <w:r w:rsidR="00250D22">
        <w:rPr>
          <w:rFonts w:ascii="Calibri" w:hAnsi="Calibri" w:cs="Calibri"/>
        </w:rPr>
        <w:t xml:space="preserve"> </w:t>
      </w:r>
      <w:r w:rsidRPr="00840B67">
        <w:rPr>
          <w:rFonts w:ascii="Calibri" w:hAnsi="Calibri" w:cs="Calibri"/>
        </w:rPr>
        <w:t xml:space="preserve">e a Diretoria Executiva do </w:t>
      </w:r>
      <w:r w:rsidR="00020A88" w:rsidRPr="00020A88">
        <w:rPr>
          <w:rFonts w:ascii="Calibri" w:hAnsi="Calibri" w:cs="Calibri"/>
          <w:b/>
        </w:rPr>
        <w:t>Fundo de Previdência Social do Município de Pires do Rio/GO</w:t>
      </w:r>
      <w:r w:rsidRPr="00840B67">
        <w:rPr>
          <w:rFonts w:ascii="Calibri" w:hAnsi="Calibri" w:cs="Calibri"/>
        </w:rPr>
        <w:t>, apresenta</w:t>
      </w:r>
      <w:r w:rsidR="00250D22">
        <w:rPr>
          <w:rFonts w:ascii="Calibri" w:hAnsi="Calibri" w:cs="Calibri"/>
        </w:rPr>
        <w:t>m</w:t>
      </w:r>
      <w:r w:rsidRPr="00840B67">
        <w:rPr>
          <w:rFonts w:ascii="Calibri" w:hAnsi="Calibri" w:cs="Calibri"/>
        </w:rPr>
        <w:t xml:space="preserve"> sua Política de Invest</w:t>
      </w:r>
      <w:r w:rsidR="00CC6346">
        <w:rPr>
          <w:rFonts w:ascii="Calibri" w:hAnsi="Calibri" w:cs="Calibri"/>
        </w:rPr>
        <w:t>imentos para o exercício de 202</w:t>
      </w:r>
      <w:r w:rsidR="00250D22">
        <w:rPr>
          <w:rFonts w:ascii="Calibri" w:hAnsi="Calibri" w:cs="Calibri"/>
        </w:rPr>
        <w:t>5</w:t>
      </w:r>
      <w:r w:rsidRPr="00840B67">
        <w:rPr>
          <w:rFonts w:ascii="Calibri" w:hAnsi="Calibri" w:cs="Calibri"/>
        </w:rPr>
        <w:t xml:space="preserve">, aprovada por seu órgão </w:t>
      </w:r>
      <w:r w:rsidR="00422F84">
        <w:rPr>
          <w:rFonts w:ascii="Calibri" w:hAnsi="Calibri" w:cs="Calibri"/>
        </w:rPr>
        <w:t xml:space="preserve">de deliberação colegiada </w:t>
      </w:r>
      <w:r w:rsidRPr="00840B67">
        <w:rPr>
          <w:rFonts w:ascii="Calibri" w:hAnsi="Calibri" w:cs="Calibri"/>
        </w:rPr>
        <w:t>competente.</w:t>
      </w:r>
    </w:p>
    <w:p w14:paraId="1A80616A" w14:textId="77777777" w:rsidR="00840B67" w:rsidRPr="00840B67" w:rsidRDefault="00840B67" w:rsidP="00CA3715">
      <w:pPr>
        <w:ind w:firstLine="708"/>
        <w:jc w:val="both"/>
        <w:rPr>
          <w:rFonts w:ascii="Calibri" w:hAnsi="Calibri" w:cs="Calibri"/>
        </w:rPr>
      </w:pPr>
      <w:r w:rsidRPr="00840B67">
        <w:rPr>
          <w:rFonts w:ascii="Calibri" w:hAnsi="Calibri" w:cs="Calibri"/>
        </w:rPr>
        <w:t>A elaboração da Política de Investimentos representa uma formalidade legal que fundamenta e norteia todos os processos de tomada de decisões relativo aos investimentos do Regimes Próprios de Previdência Social – RPPS, empregada como instrumento necessário para garantir a consistência da gestão dos recursos em busca do equilíbrio econômico-financeiro.</w:t>
      </w:r>
    </w:p>
    <w:p w14:paraId="4A25E6FD" w14:textId="77777777" w:rsidR="00840B67" w:rsidRDefault="00840B67" w:rsidP="00CA3715">
      <w:pPr>
        <w:ind w:firstLine="708"/>
        <w:jc w:val="both"/>
        <w:rPr>
          <w:rFonts w:ascii="Calibri" w:hAnsi="Calibri" w:cs="Calibri"/>
        </w:rPr>
      </w:pPr>
      <w:r w:rsidRPr="00840B67">
        <w:rPr>
          <w:rFonts w:ascii="Calibri" w:hAnsi="Calibri" w:cs="Calibri"/>
        </w:rPr>
        <w:t>Os fundamentos para a elaboração da presente Política de Investimentos estão centrados em critérios técnicos de grande relevância. Ressalta-se que o principal a ser observado, para que se trabalhe com parâmetros sólidos, é aquele referente à análise do fluxo de caixa atuarial da entidade, ou seja, o equilíbrio entre ativo e passivo, levando-se em consideração as reservas técnicas atuariais (ativos) e as reservas matemáticas (passivo) projetadas pelo cálculo atuarial.</w:t>
      </w:r>
    </w:p>
    <w:p w14:paraId="2B1B5CB1" w14:textId="77777777" w:rsidR="008265CE" w:rsidRDefault="008265CE" w:rsidP="00CA3715">
      <w:pPr>
        <w:ind w:firstLine="708"/>
        <w:jc w:val="both"/>
        <w:rPr>
          <w:rFonts w:ascii="Calibri" w:hAnsi="Calibri" w:cs="Calibri"/>
        </w:rPr>
      </w:pPr>
    </w:p>
    <w:p w14:paraId="53BFB18A" w14:textId="77777777" w:rsidR="008265CE" w:rsidRDefault="008265CE" w:rsidP="00CA3715">
      <w:pPr>
        <w:ind w:firstLine="708"/>
        <w:jc w:val="both"/>
        <w:rPr>
          <w:rFonts w:ascii="Calibri" w:hAnsi="Calibri" w:cs="Calibri"/>
        </w:rPr>
      </w:pPr>
    </w:p>
    <w:p w14:paraId="7C0AE0A8" w14:textId="77777777" w:rsidR="008265CE" w:rsidRDefault="008265CE" w:rsidP="00CA3715">
      <w:pPr>
        <w:ind w:firstLine="708"/>
        <w:jc w:val="both"/>
        <w:rPr>
          <w:rFonts w:ascii="Calibri" w:hAnsi="Calibri" w:cs="Calibri"/>
        </w:rPr>
      </w:pPr>
    </w:p>
    <w:p w14:paraId="485991F4" w14:textId="77777777" w:rsidR="008265CE" w:rsidRDefault="008265CE" w:rsidP="00CA3715">
      <w:pPr>
        <w:ind w:firstLine="708"/>
        <w:jc w:val="both"/>
        <w:rPr>
          <w:rFonts w:ascii="Calibri" w:hAnsi="Calibri" w:cs="Calibri"/>
        </w:rPr>
      </w:pPr>
    </w:p>
    <w:p w14:paraId="2F412079" w14:textId="77777777" w:rsidR="008265CE" w:rsidRDefault="008265CE" w:rsidP="00CA3715">
      <w:pPr>
        <w:ind w:firstLine="708"/>
        <w:jc w:val="both"/>
        <w:rPr>
          <w:rFonts w:ascii="Calibri" w:hAnsi="Calibri" w:cs="Calibri"/>
        </w:rPr>
      </w:pPr>
    </w:p>
    <w:p w14:paraId="70878BD5" w14:textId="77777777" w:rsidR="008265CE" w:rsidRDefault="008265CE" w:rsidP="00CA3715">
      <w:pPr>
        <w:ind w:firstLine="708"/>
        <w:jc w:val="both"/>
        <w:rPr>
          <w:rFonts w:ascii="Calibri" w:hAnsi="Calibri" w:cs="Calibri"/>
        </w:rPr>
      </w:pPr>
    </w:p>
    <w:p w14:paraId="1B0C6E55" w14:textId="77777777" w:rsidR="008265CE" w:rsidRDefault="008265CE" w:rsidP="00CA3715">
      <w:pPr>
        <w:ind w:firstLine="708"/>
        <w:jc w:val="both"/>
        <w:rPr>
          <w:rFonts w:ascii="Calibri" w:hAnsi="Calibri" w:cs="Calibri"/>
        </w:rPr>
      </w:pPr>
    </w:p>
    <w:p w14:paraId="46F16169" w14:textId="77777777" w:rsidR="008265CE" w:rsidRDefault="008265CE" w:rsidP="00CA3715">
      <w:pPr>
        <w:ind w:firstLine="708"/>
        <w:jc w:val="both"/>
        <w:rPr>
          <w:rFonts w:ascii="Calibri" w:hAnsi="Calibri" w:cs="Calibri"/>
        </w:rPr>
      </w:pPr>
    </w:p>
    <w:p w14:paraId="3532CB44" w14:textId="77777777" w:rsidR="008265CE" w:rsidRDefault="008265CE" w:rsidP="00CA3715">
      <w:pPr>
        <w:ind w:firstLine="708"/>
        <w:jc w:val="both"/>
        <w:rPr>
          <w:rFonts w:ascii="Calibri" w:hAnsi="Calibri" w:cs="Calibri"/>
        </w:rPr>
      </w:pPr>
    </w:p>
    <w:p w14:paraId="78ACCC89" w14:textId="77777777" w:rsidR="008265CE" w:rsidRDefault="008265CE" w:rsidP="00CA3715">
      <w:pPr>
        <w:ind w:firstLine="708"/>
        <w:jc w:val="both"/>
        <w:rPr>
          <w:rFonts w:ascii="Calibri" w:hAnsi="Calibri" w:cs="Calibri"/>
        </w:rPr>
      </w:pPr>
    </w:p>
    <w:p w14:paraId="182FA5FF" w14:textId="511C77E1" w:rsidR="008265CE" w:rsidRDefault="008265CE" w:rsidP="00CA3715">
      <w:pPr>
        <w:ind w:firstLine="708"/>
        <w:jc w:val="both"/>
        <w:rPr>
          <w:rFonts w:ascii="Calibri" w:hAnsi="Calibri" w:cs="Calibri"/>
        </w:rPr>
      </w:pPr>
    </w:p>
    <w:p w14:paraId="4C2FCE73" w14:textId="6FC858B7" w:rsidR="00326A1D" w:rsidRDefault="00326A1D" w:rsidP="00CA3715">
      <w:pPr>
        <w:ind w:firstLine="708"/>
        <w:jc w:val="both"/>
        <w:rPr>
          <w:rFonts w:ascii="Calibri" w:hAnsi="Calibri" w:cs="Calibri"/>
        </w:rPr>
      </w:pPr>
    </w:p>
    <w:p w14:paraId="7400540C" w14:textId="5A7D5FC6" w:rsidR="003524B0" w:rsidRDefault="003524B0" w:rsidP="00CA3715">
      <w:pPr>
        <w:ind w:firstLine="708"/>
        <w:jc w:val="both"/>
        <w:rPr>
          <w:rFonts w:ascii="Calibri" w:hAnsi="Calibri" w:cs="Calibri"/>
        </w:rPr>
      </w:pPr>
    </w:p>
    <w:p w14:paraId="16D00912" w14:textId="77777777" w:rsidR="0088066E" w:rsidRDefault="0088066E" w:rsidP="00CA3715">
      <w:pPr>
        <w:ind w:firstLine="708"/>
        <w:jc w:val="both"/>
        <w:rPr>
          <w:rFonts w:ascii="Calibri" w:hAnsi="Calibri" w:cs="Calibri"/>
        </w:rPr>
      </w:pPr>
    </w:p>
    <w:p w14:paraId="6BACBF6F" w14:textId="7E63EA5B" w:rsidR="00145391" w:rsidRDefault="00145391" w:rsidP="00CA3715">
      <w:pPr>
        <w:ind w:firstLine="708"/>
        <w:jc w:val="both"/>
        <w:rPr>
          <w:rFonts w:ascii="Calibri" w:hAnsi="Calibri" w:cs="Calibri"/>
        </w:rPr>
      </w:pPr>
    </w:p>
    <w:p w14:paraId="54850B2B" w14:textId="77777777" w:rsidR="00CA3715" w:rsidRDefault="00CA3715" w:rsidP="001837C5">
      <w:pPr>
        <w:pStyle w:val="Ttulo1"/>
        <w:numPr>
          <w:ilvl w:val="0"/>
          <w:numId w:val="10"/>
        </w:numPr>
      </w:pPr>
      <w:bookmarkStart w:id="1" w:name="_Toc180593247"/>
      <w:r>
        <w:t>OBJETIVO</w:t>
      </w:r>
      <w:bookmarkEnd w:id="1"/>
    </w:p>
    <w:p w14:paraId="0F0A40DF" w14:textId="77777777" w:rsidR="00CA3715" w:rsidRDefault="00CA3715" w:rsidP="00CA3715">
      <w:pPr>
        <w:jc w:val="both"/>
        <w:rPr>
          <w:rFonts w:ascii="Calibri" w:hAnsi="Calibri" w:cs="Calibri"/>
        </w:rPr>
      </w:pPr>
    </w:p>
    <w:p w14:paraId="17677318" w14:textId="782D772A" w:rsidR="00CA3715" w:rsidRPr="00CA3715" w:rsidRDefault="00CA3715" w:rsidP="00CA3715">
      <w:pPr>
        <w:ind w:firstLine="708"/>
        <w:jc w:val="both"/>
        <w:rPr>
          <w:rFonts w:ascii="Calibri" w:hAnsi="Calibri" w:cs="Calibri"/>
        </w:rPr>
      </w:pPr>
      <w:r w:rsidRPr="00CA3715">
        <w:rPr>
          <w:rFonts w:ascii="Calibri" w:hAnsi="Calibri" w:cs="Calibri"/>
        </w:rPr>
        <w:t xml:space="preserve">A Política de Investimentos do </w:t>
      </w:r>
      <w:r w:rsidR="00020A88" w:rsidRPr="00020A88">
        <w:rPr>
          <w:rFonts w:ascii="Calibri" w:hAnsi="Calibri" w:cs="Calibri"/>
          <w:b/>
        </w:rPr>
        <w:t>Fundo de Previdência Social do Município de Pires do Rio/GO</w:t>
      </w:r>
      <w:r w:rsidRPr="00CA3715">
        <w:rPr>
          <w:rFonts w:ascii="Calibri" w:hAnsi="Calibri" w:cs="Calibri"/>
        </w:rPr>
        <w:t xml:space="preserve"> tem como objetivo estabelecer as diretrizes das aplicações dos recursos garantidores dos pagamentos dos segurados e beneficiários do regime, visando atingir a meta atuarial definida para garantir a manutenção do seu equilíbrio econômico-financeiro e atuarial, tendo sempre presentes os princípios da boa governança, da segurança, rentabilidade, solvência, liquidez, motivação, adequação à natureza de suas obrigações e transparência.</w:t>
      </w:r>
    </w:p>
    <w:p w14:paraId="76B72F84" w14:textId="77777777" w:rsidR="00CA3715" w:rsidRPr="00CA3715" w:rsidRDefault="00CA3715" w:rsidP="00CA3715">
      <w:pPr>
        <w:ind w:firstLine="708"/>
        <w:jc w:val="both"/>
        <w:rPr>
          <w:rFonts w:ascii="Calibri" w:hAnsi="Calibri" w:cs="Calibri"/>
        </w:rPr>
      </w:pPr>
      <w:r w:rsidRPr="00CA3715">
        <w:rPr>
          <w:rFonts w:ascii="Calibri" w:hAnsi="Calibri" w:cs="Calibri"/>
        </w:rPr>
        <w:t>A Política de Investimentos tem ainda, como objetivo específico, zelar pela eficiência na condução das operações relativas às aplicações dos recursos, buscando alocar os investimentos em instituições que possuam as seguintes características: solidez patrimonial, experiência positiva no exercício da atividade de administração e gestão de grandes volumes de recursos e em ativos com adequada relação risco X retorno.</w:t>
      </w:r>
    </w:p>
    <w:p w14:paraId="6CA6C5F3" w14:textId="6A2F66FA" w:rsidR="00CA3715" w:rsidRPr="00CA3715" w:rsidRDefault="00CA3715" w:rsidP="00CA3715">
      <w:pPr>
        <w:ind w:firstLine="708"/>
        <w:jc w:val="both"/>
        <w:rPr>
          <w:rFonts w:ascii="Calibri" w:hAnsi="Calibri" w:cs="Calibri"/>
        </w:rPr>
      </w:pPr>
      <w:r w:rsidRPr="00CA3715">
        <w:rPr>
          <w:rFonts w:ascii="Calibri" w:hAnsi="Calibri" w:cs="Calibri"/>
        </w:rPr>
        <w:t>Para cumprimento do objetivo específico e considerando as perspectivas do cenário econômico, a política estabelecerá a modalidade e os limites legais e operacionais, buscando a mais adequada alocação dos ativos, à vista do perfil do passivo no curto, médio e longo prazo, atendendo aos requ</w:t>
      </w:r>
      <w:r w:rsidR="00D73F44">
        <w:rPr>
          <w:rFonts w:ascii="Calibri" w:hAnsi="Calibri" w:cs="Calibri"/>
        </w:rPr>
        <w:t>isitos da Resolução CMN nº 4.963/2021</w:t>
      </w:r>
      <w:r w:rsidRPr="00CA3715">
        <w:rPr>
          <w:rFonts w:ascii="Calibri" w:hAnsi="Calibri" w:cs="Calibri"/>
        </w:rPr>
        <w:t>.</w:t>
      </w:r>
    </w:p>
    <w:p w14:paraId="5504E3CD" w14:textId="67A798D5" w:rsidR="00CA3715" w:rsidRDefault="00CA3715" w:rsidP="00CA3715">
      <w:pPr>
        <w:ind w:firstLine="708"/>
        <w:jc w:val="both"/>
        <w:rPr>
          <w:rFonts w:ascii="Calibri" w:hAnsi="Calibri" w:cs="Calibri"/>
        </w:rPr>
      </w:pPr>
      <w:r w:rsidRPr="00CA3715">
        <w:rPr>
          <w:rFonts w:ascii="Calibri" w:hAnsi="Calibri" w:cs="Calibri"/>
        </w:rPr>
        <w:t xml:space="preserve">Os responsáveis pela gestão do </w:t>
      </w:r>
      <w:r w:rsidR="00020A88" w:rsidRPr="00020A88">
        <w:rPr>
          <w:rFonts w:ascii="Calibri" w:hAnsi="Calibri" w:cs="Calibri"/>
          <w:b/>
        </w:rPr>
        <w:t>Fundo de Previdência Social do Município de Pires do Rio/GO</w:t>
      </w:r>
      <w:r w:rsidR="009C6C75" w:rsidRPr="009C6C75">
        <w:rPr>
          <w:rFonts w:ascii="Calibri" w:hAnsi="Calibri" w:cs="Calibri"/>
          <w:b/>
        </w:rPr>
        <w:t xml:space="preserve"> </w:t>
      </w:r>
      <w:r w:rsidRPr="00CA3715">
        <w:rPr>
          <w:rFonts w:ascii="Calibri" w:hAnsi="Calibri" w:cs="Calibri"/>
        </w:rPr>
        <w:t>têm como objetividade a contínua busca pela ciência do conhecimento técnico, exercendo suas atividades com boa fé, legalidade e diligência; zelando pelos elevados padrões éticos, adotando as melhores práticas que visem garantir o cumprimento de suas obrigações.</w:t>
      </w:r>
    </w:p>
    <w:p w14:paraId="37A4184C" w14:textId="77777777" w:rsidR="00CA3715" w:rsidRDefault="00CA3715" w:rsidP="00CA3715">
      <w:pPr>
        <w:jc w:val="both"/>
        <w:rPr>
          <w:rFonts w:ascii="Calibri" w:hAnsi="Calibri" w:cs="Calibri"/>
        </w:rPr>
      </w:pPr>
    </w:p>
    <w:p w14:paraId="2D44F9DF" w14:textId="77777777" w:rsidR="008265CE" w:rsidRDefault="008265CE" w:rsidP="00CA3715">
      <w:pPr>
        <w:jc w:val="both"/>
        <w:rPr>
          <w:rFonts w:ascii="Calibri" w:hAnsi="Calibri" w:cs="Calibri"/>
        </w:rPr>
      </w:pPr>
    </w:p>
    <w:p w14:paraId="4A32A6D2" w14:textId="77777777" w:rsidR="008265CE" w:rsidRDefault="008265CE" w:rsidP="00CA3715">
      <w:pPr>
        <w:jc w:val="both"/>
        <w:rPr>
          <w:rFonts w:ascii="Calibri" w:hAnsi="Calibri" w:cs="Calibri"/>
        </w:rPr>
      </w:pPr>
    </w:p>
    <w:p w14:paraId="143692B8" w14:textId="77777777" w:rsidR="008265CE" w:rsidRDefault="008265CE" w:rsidP="00CA3715">
      <w:pPr>
        <w:jc w:val="both"/>
        <w:rPr>
          <w:rFonts w:ascii="Calibri" w:hAnsi="Calibri" w:cs="Calibri"/>
        </w:rPr>
      </w:pPr>
    </w:p>
    <w:p w14:paraId="0CA75AD0" w14:textId="77777777" w:rsidR="008265CE" w:rsidRDefault="008265CE" w:rsidP="00CA3715">
      <w:pPr>
        <w:jc w:val="both"/>
        <w:rPr>
          <w:rFonts w:ascii="Calibri" w:hAnsi="Calibri" w:cs="Calibri"/>
        </w:rPr>
      </w:pPr>
    </w:p>
    <w:p w14:paraId="0B53995C" w14:textId="77777777" w:rsidR="008265CE" w:rsidRDefault="008265CE" w:rsidP="00CA3715">
      <w:pPr>
        <w:jc w:val="both"/>
        <w:rPr>
          <w:rFonts w:ascii="Calibri" w:hAnsi="Calibri" w:cs="Calibri"/>
        </w:rPr>
      </w:pPr>
    </w:p>
    <w:p w14:paraId="212F0FF4" w14:textId="44CB5143" w:rsidR="008265CE" w:rsidRDefault="008265CE" w:rsidP="00CA3715">
      <w:pPr>
        <w:jc w:val="both"/>
        <w:rPr>
          <w:rFonts w:ascii="Calibri" w:hAnsi="Calibri" w:cs="Calibri"/>
        </w:rPr>
      </w:pPr>
    </w:p>
    <w:p w14:paraId="2583B997" w14:textId="7042B6F8" w:rsidR="008265CE" w:rsidRDefault="008265CE" w:rsidP="00CA3715">
      <w:pPr>
        <w:jc w:val="both"/>
        <w:rPr>
          <w:rFonts w:ascii="Calibri" w:hAnsi="Calibri" w:cs="Calibri"/>
        </w:rPr>
      </w:pPr>
    </w:p>
    <w:p w14:paraId="4A723E7B" w14:textId="0C51B7F0" w:rsidR="00AB18AE" w:rsidRDefault="00AB18AE" w:rsidP="00CA3715">
      <w:pPr>
        <w:jc w:val="both"/>
        <w:rPr>
          <w:rFonts w:ascii="Calibri" w:hAnsi="Calibri" w:cs="Calibri"/>
        </w:rPr>
      </w:pPr>
    </w:p>
    <w:p w14:paraId="360A187A" w14:textId="77777777" w:rsidR="00AB18AE" w:rsidRDefault="00AB18AE" w:rsidP="00CA3715">
      <w:pPr>
        <w:jc w:val="both"/>
        <w:rPr>
          <w:rFonts w:ascii="Calibri" w:hAnsi="Calibri" w:cs="Calibri"/>
        </w:rPr>
      </w:pPr>
    </w:p>
    <w:p w14:paraId="6D073149" w14:textId="77777777" w:rsidR="00326A1D" w:rsidRDefault="00326A1D" w:rsidP="00CA3715">
      <w:pPr>
        <w:jc w:val="both"/>
        <w:rPr>
          <w:rFonts w:ascii="Calibri" w:hAnsi="Calibri" w:cs="Calibri"/>
        </w:rPr>
      </w:pPr>
    </w:p>
    <w:p w14:paraId="3B5F95E1" w14:textId="19D5226B" w:rsidR="00CA3715" w:rsidRDefault="00CA3715" w:rsidP="001837C5">
      <w:pPr>
        <w:pStyle w:val="Ttulo1"/>
        <w:numPr>
          <w:ilvl w:val="0"/>
          <w:numId w:val="10"/>
        </w:numPr>
      </w:pPr>
      <w:bookmarkStart w:id="2" w:name="_Toc180593248"/>
      <w:r>
        <w:t>CENÁRIO ECONÔMICO</w:t>
      </w:r>
      <w:bookmarkEnd w:id="2"/>
    </w:p>
    <w:p w14:paraId="20962BB4" w14:textId="6CB04C47" w:rsidR="008B6F67" w:rsidRDefault="008B6F67" w:rsidP="008B6F67"/>
    <w:p w14:paraId="2F3DC8BA" w14:textId="77777777" w:rsidR="00CE6A5E" w:rsidRPr="00CE6A5E" w:rsidRDefault="00CE6A5E" w:rsidP="00CE6A5E">
      <w:pPr>
        <w:ind w:firstLine="708"/>
        <w:jc w:val="both"/>
        <w:rPr>
          <w:rFonts w:ascii="Calibri" w:hAnsi="Calibri"/>
        </w:rPr>
      </w:pPr>
      <w:r w:rsidRPr="00CE6A5E">
        <w:rPr>
          <w:rFonts w:ascii="Calibri" w:hAnsi="Calibri"/>
        </w:rPr>
        <w:t>O cenário econômico de 2025 ainda está se desenhando, mas algumas tendências já podem ser identificadas:</w:t>
      </w:r>
    </w:p>
    <w:p w14:paraId="704A623B" w14:textId="77777777" w:rsidR="00CE6A5E" w:rsidRPr="00CE6A5E" w:rsidRDefault="00CE6A5E" w:rsidP="00CE6A5E">
      <w:pPr>
        <w:jc w:val="both"/>
        <w:rPr>
          <w:rFonts w:ascii="Calibri" w:hAnsi="Calibri"/>
        </w:rPr>
      </w:pPr>
    </w:p>
    <w:p w14:paraId="12CB4EA9" w14:textId="0C68B555" w:rsidR="00DF270E" w:rsidRDefault="00CE6A5E" w:rsidP="00BA3D57">
      <w:pPr>
        <w:pStyle w:val="PargrafodaLista"/>
        <w:numPr>
          <w:ilvl w:val="0"/>
          <w:numId w:val="12"/>
        </w:numPr>
        <w:jc w:val="both"/>
        <w:rPr>
          <w:rFonts w:ascii="Calibri" w:hAnsi="Calibri"/>
        </w:rPr>
      </w:pPr>
      <w:r w:rsidRPr="00DF270E">
        <w:rPr>
          <w:rFonts w:ascii="Calibri" w:hAnsi="Calibri"/>
          <w:b/>
        </w:rPr>
        <w:t>Desaceleração do Crescimento:</w:t>
      </w:r>
      <w:r w:rsidRPr="00DF270E">
        <w:rPr>
          <w:rFonts w:ascii="Calibri" w:hAnsi="Calibri"/>
        </w:rPr>
        <w:t xml:space="preserve"> Após um período de recuperação pós-pandemia, a expectativa é de um arrefecimento no ritmo de crescimento global. Fatores como a alta inflação, o aumento das taxas de juros e a incerteza geopolítica podem atuar c</w:t>
      </w:r>
      <w:r w:rsidR="00DF270E" w:rsidRPr="00DF270E">
        <w:rPr>
          <w:rFonts w:ascii="Calibri" w:hAnsi="Calibri"/>
        </w:rPr>
        <w:t>omo freios à expansão econômica.</w:t>
      </w:r>
    </w:p>
    <w:p w14:paraId="5771AAF2" w14:textId="2FB53F0E" w:rsidR="00DF270E" w:rsidRDefault="00CE6A5E" w:rsidP="00DF270E">
      <w:pPr>
        <w:pStyle w:val="PargrafodaLista"/>
        <w:numPr>
          <w:ilvl w:val="0"/>
          <w:numId w:val="12"/>
        </w:numPr>
        <w:jc w:val="both"/>
        <w:rPr>
          <w:rFonts w:ascii="Calibri" w:hAnsi="Calibri"/>
        </w:rPr>
      </w:pPr>
      <w:r w:rsidRPr="00DF270E">
        <w:rPr>
          <w:rFonts w:ascii="Calibri" w:hAnsi="Calibri"/>
          <w:b/>
        </w:rPr>
        <w:t>Inflação Persistente:</w:t>
      </w:r>
      <w:r w:rsidRPr="00CE6A5E">
        <w:rPr>
          <w:rFonts w:ascii="Calibri" w:hAnsi="Calibri"/>
        </w:rPr>
        <w:t xml:space="preserve"> Apesar de haver sinais de desaceleração, a inflação deve continuar sendo um desafio para muitos países. A guerra na Ucrânia, problemas nas cadeias de suprimentos e a demanda reprimida são alguns dos fatores que contribuem para esse cenário.</w:t>
      </w:r>
    </w:p>
    <w:p w14:paraId="7D907CD3" w14:textId="3CD472D1" w:rsidR="00CE6A5E" w:rsidRDefault="00CE6A5E" w:rsidP="00CE6A5E">
      <w:pPr>
        <w:pStyle w:val="PargrafodaLista"/>
        <w:numPr>
          <w:ilvl w:val="0"/>
          <w:numId w:val="12"/>
        </w:numPr>
        <w:jc w:val="both"/>
        <w:rPr>
          <w:rFonts w:ascii="Calibri" w:hAnsi="Calibri"/>
        </w:rPr>
      </w:pPr>
      <w:r w:rsidRPr="00DF270E">
        <w:rPr>
          <w:rFonts w:ascii="Calibri" w:hAnsi="Calibri"/>
          <w:b/>
        </w:rPr>
        <w:t>Aumento das Taxas de Juros:</w:t>
      </w:r>
      <w:r w:rsidRPr="00CE6A5E">
        <w:rPr>
          <w:rFonts w:ascii="Calibri" w:hAnsi="Calibri"/>
        </w:rPr>
        <w:t xml:space="preserve"> Os bancos centrais em todo o mundo têm elevado as taxas de juros para controlar a inflação. Essa medida, embora necessária para conter o aumento dos preços, pode impactar negativamente o crescimento econômico e o mercado de trabalho.</w:t>
      </w:r>
    </w:p>
    <w:p w14:paraId="13E0812D" w14:textId="748DF6F5" w:rsidR="00DF270E" w:rsidRPr="00DF270E" w:rsidRDefault="00CE6A5E" w:rsidP="00DF270E">
      <w:pPr>
        <w:pStyle w:val="PargrafodaLista"/>
        <w:numPr>
          <w:ilvl w:val="0"/>
          <w:numId w:val="12"/>
        </w:numPr>
        <w:jc w:val="both"/>
        <w:rPr>
          <w:rFonts w:ascii="Calibri" w:hAnsi="Calibri"/>
        </w:rPr>
      </w:pPr>
      <w:r w:rsidRPr="00DF270E">
        <w:rPr>
          <w:rFonts w:ascii="Calibri" w:hAnsi="Calibri"/>
          <w:b/>
        </w:rPr>
        <w:t>Transformação Digital Acelerada:</w:t>
      </w:r>
      <w:r w:rsidRPr="00CE6A5E">
        <w:rPr>
          <w:rFonts w:ascii="Calibri" w:hAnsi="Calibri"/>
        </w:rPr>
        <w:t xml:space="preserve"> A pandemia intensificou a adoção de tecnologias digitais em diversos setores da economia. Essa tendência deve se manter em 2025, com a crescente importância da inteligência artificial, da internet das coisas e da nuvem.</w:t>
      </w:r>
    </w:p>
    <w:p w14:paraId="5E16D946" w14:textId="58DB9357" w:rsidR="00CE6A5E" w:rsidRPr="00CE6A5E" w:rsidRDefault="00CE6A5E" w:rsidP="00CE6A5E">
      <w:pPr>
        <w:pStyle w:val="PargrafodaLista"/>
        <w:numPr>
          <w:ilvl w:val="0"/>
          <w:numId w:val="12"/>
        </w:numPr>
        <w:jc w:val="both"/>
        <w:rPr>
          <w:rFonts w:ascii="Calibri" w:hAnsi="Calibri"/>
        </w:rPr>
      </w:pPr>
      <w:r w:rsidRPr="00DF270E">
        <w:rPr>
          <w:rFonts w:ascii="Calibri" w:hAnsi="Calibri"/>
          <w:b/>
        </w:rPr>
        <w:t>Sustentabilidade e ESG:</w:t>
      </w:r>
      <w:r w:rsidRPr="00CE6A5E">
        <w:rPr>
          <w:rFonts w:ascii="Calibri" w:hAnsi="Calibri"/>
        </w:rPr>
        <w:t xml:space="preserve"> A preocupação com questões ambientais, sociais e de governança corporativa (ESG) continua a ganhar força. Empresas e investidores estão cada vez mais atentos aos impactos de suas atividades e buscando soluções mais sustentáveis.</w:t>
      </w:r>
    </w:p>
    <w:p w14:paraId="2D9A44C6" w14:textId="74E68E9E" w:rsidR="00CE6A5E" w:rsidRPr="00CE6A5E" w:rsidRDefault="00DF270E" w:rsidP="00CE6A5E">
      <w:pPr>
        <w:pStyle w:val="PargrafodaLista"/>
        <w:numPr>
          <w:ilvl w:val="0"/>
          <w:numId w:val="12"/>
        </w:numPr>
        <w:jc w:val="both"/>
        <w:rPr>
          <w:rFonts w:ascii="Calibri" w:hAnsi="Calibri"/>
        </w:rPr>
      </w:pPr>
      <w:r w:rsidRPr="00DF270E">
        <w:rPr>
          <w:rFonts w:ascii="Calibri" w:hAnsi="Calibri"/>
          <w:b/>
        </w:rPr>
        <w:t>Geopolítica tensa</w:t>
      </w:r>
      <w:r w:rsidR="00CE6A5E" w:rsidRPr="00DF270E">
        <w:rPr>
          <w:rFonts w:ascii="Calibri" w:hAnsi="Calibri"/>
          <w:b/>
        </w:rPr>
        <w:t>:</w:t>
      </w:r>
      <w:r w:rsidR="00CE6A5E" w:rsidRPr="00CE6A5E">
        <w:rPr>
          <w:rFonts w:ascii="Calibri" w:hAnsi="Calibri"/>
        </w:rPr>
        <w:t xml:space="preserve"> A guerra na Ucrânia e as tensões entre as grandes potências podem gerar instabilidade econômica e afetar o comércio internacional.</w:t>
      </w:r>
    </w:p>
    <w:p w14:paraId="124D1A74" w14:textId="77777777" w:rsidR="00CE6A5E" w:rsidRPr="00CE6A5E" w:rsidRDefault="00CE6A5E" w:rsidP="00CE6A5E">
      <w:pPr>
        <w:jc w:val="both"/>
        <w:rPr>
          <w:rFonts w:ascii="Calibri" w:hAnsi="Calibri"/>
        </w:rPr>
      </w:pPr>
    </w:p>
    <w:p w14:paraId="32FC824C" w14:textId="77777777" w:rsidR="00CE6A5E" w:rsidRPr="00CE6A5E" w:rsidRDefault="00CE6A5E" w:rsidP="00DF270E">
      <w:pPr>
        <w:ind w:firstLine="708"/>
        <w:jc w:val="both"/>
        <w:rPr>
          <w:rFonts w:ascii="Calibri" w:hAnsi="Calibri"/>
        </w:rPr>
      </w:pPr>
      <w:r w:rsidRPr="00CE6A5E">
        <w:rPr>
          <w:rFonts w:ascii="Calibri" w:hAnsi="Calibri"/>
        </w:rPr>
        <w:t>Para o Brasil, as perspectivas para 2025 também são desafiadoras:</w:t>
      </w:r>
    </w:p>
    <w:p w14:paraId="1C1F7341" w14:textId="77777777" w:rsidR="00CE6A5E" w:rsidRPr="00CE6A5E" w:rsidRDefault="00CE6A5E" w:rsidP="00CE6A5E">
      <w:pPr>
        <w:jc w:val="both"/>
        <w:rPr>
          <w:rFonts w:ascii="Calibri" w:hAnsi="Calibri"/>
        </w:rPr>
      </w:pPr>
    </w:p>
    <w:p w14:paraId="7D954FB0" w14:textId="2FE4B719" w:rsidR="00CE6A5E" w:rsidRPr="00DF270E" w:rsidRDefault="00CE6A5E" w:rsidP="00DF270E">
      <w:pPr>
        <w:pStyle w:val="PargrafodaLista"/>
        <w:numPr>
          <w:ilvl w:val="0"/>
          <w:numId w:val="13"/>
        </w:numPr>
        <w:jc w:val="both"/>
        <w:rPr>
          <w:rFonts w:ascii="Calibri" w:hAnsi="Calibri"/>
        </w:rPr>
      </w:pPr>
      <w:r w:rsidRPr="00DF270E">
        <w:rPr>
          <w:rFonts w:ascii="Calibri" w:hAnsi="Calibri"/>
          <w:b/>
        </w:rPr>
        <w:t>Controle da Inflação:</w:t>
      </w:r>
      <w:r w:rsidRPr="00DF270E">
        <w:rPr>
          <w:rFonts w:ascii="Calibri" w:hAnsi="Calibri"/>
        </w:rPr>
        <w:t xml:space="preserve"> A meta de inflação estabelecida pelo Banco Central é um dos principais desafios para a economia brasileira. O sucesso nesse objetivo dependerá da adoção de políticas monetárias e fiscais adequadas.</w:t>
      </w:r>
    </w:p>
    <w:p w14:paraId="641F134A" w14:textId="5247744F" w:rsidR="00CE6A5E" w:rsidRPr="00DF270E" w:rsidRDefault="00CE6A5E" w:rsidP="00DF270E">
      <w:pPr>
        <w:pStyle w:val="PargrafodaLista"/>
        <w:numPr>
          <w:ilvl w:val="0"/>
          <w:numId w:val="13"/>
        </w:numPr>
        <w:jc w:val="both"/>
        <w:rPr>
          <w:rFonts w:ascii="Calibri" w:hAnsi="Calibri"/>
        </w:rPr>
      </w:pPr>
      <w:r w:rsidRPr="00DF270E">
        <w:rPr>
          <w:rFonts w:ascii="Calibri" w:hAnsi="Calibri"/>
          <w:b/>
        </w:rPr>
        <w:t>Reforma Tributária:</w:t>
      </w:r>
      <w:r w:rsidRPr="00DF270E">
        <w:rPr>
          <w:rFonts w:ascii="Calibri" w:hAnsi="Calibri"/>
        </w:rPr>
        <w:t xml:space="preserve"> A aprovação de uma reforma tributária que simplifique o sistema e reduza a carga tributária é fundamental para estimular os investimentos e o crescimento econômico.</w:t>
      </w:r>
    </w:p>
    <w:p w14:paraId="1733DD92" w14:textId="6CFEC130" w:rsidR="00CE6A5E" w:rsidRPr="00DF270E" w:rsidRDefault="00CE6A5E" w:rsidP="00DF270E">
      <w:pPr>
        <w:pStyle w:val="PargrafodaLista"/>
        <w:numPr>
          <w:ilvl w:val="0"/>
          <w:numId w:val="13"/>
        </w:numPr>
        <w:jc w:val="both"/>
        <w:rPr>
          <w:rFonts w:ascii="Calibri" w:hAnsi="Calibri"/>
        </w:rPr>
      </w:pPr>
      <w:r w:rsidRPr="00DF270E">
        <w:rPr>
          <w:rFonts w:ascii="Calibri" w:hAnsi="Calibri"/>
          <w:b/>
        </w:rPr>
        <w:t>Desafios Fiscais:</w:t>
      </w:r>
      <w:r w:rsidRPr="00DF270E">
        <w:rPr>
          <w:rFonts w:ascii="Calibri" w:hAnsi="Calibri"/>
        </w:rPr>
        <w:t xml:space="preserve"> O elevado endividamento público e a necessidade de garantir a sustentabilidade da previdência social são outros desafios que o governo brasileiro precisará enfrentar.</w:t>
      </w:r>
    </w:p>
    <w:p w14:paraId="3BC7DBCB" w14:textId="73A92667" w:rsidR="00CE6A5E" w:rsidRDefault="00CE6A5E" w:rsidP="00CE6A5E">
      <w:pPr>
        <w:jc w:val="both"/>
        <w:rPr>
          <w:rFonts w:ascii="Calibri" w:hAnsi="Calibri"/>
        </w:rPr>
      </w:pPr>
    </w:p>
    <w:p w14:paraId="3B332AF7" w14:textId="702E0222" w:rsidR="00DF270E" w:rsidRDefault="00DF270E" w:rsidP="00DF270E">
      <w:pPr>
        <w:pStyle w:val="Ttulo2"/>
        <w:numPr>
          <w:ilvl w:val="1"/>
          <w:numId w:val="10"/>
        </w:numPr>
      </w:pPr>
      <w:bookmarkStart w:id="3" w:name="_Toc180593249"/>
      <w:r>
        <w:t>Inflação</w:t>
      </w:r>
      <w:bookmarkEnd w:id="3"/>
    </w:p>
    <w:p w14:paraId="39F362CF" w14:textId="6A774C1B" w:rsidR="00DF270E" w:rsidRDefault="00DF270E" w:rsidP="00DF270E">
      <w:pPr>
        <w:jc w:val="both"/>
        <w:rPr>
          <w:rFonts w:ascii="Calibri" w:hAnsi="Calibri"/>
        </w:rPr>
      </w:pPr>
    </w:p>
    <w:p w14:paraId="2F3FBF97" w14:textId="77777777" w:rsidR="00DF270E" w:rsidRPr="00DF270E" w:rsidRDefault="00DF270E" w:rsidP="00DF270E">
      <w:pPr>
        <w:ind w:firstLine="708"/>
        <w:jc w:val="both"/>
        <w:rPr>
          <w:rFonts w:ascii="Calibri" w:hAnsi="Calibri"/>
        </w:rPr>
      </w:pPr>
      <w:r w:rsidRPr="00DF270E">
        <w:rPr>
          <w:rFonts w:ascii="Calibri" w:hAnsi="Calibri"/>
        </w:rPr>
        <w:t>A inflação no Brasil em 2025 é um tema que demanda uma análise cuidadosa, dada a complexidade do cenário econômico global e nacional.</w:t>
      </w:r>
    </w:p>
    <w:p w14:paraId="3BA5D1DB" w14:textId="77777777" w:rsidR="00DF270E" w:rsidRPr="00DF270E" w:rsidRDefault="00DF270E" w:rsidP="00DF270E">
      <w:pPr>
        <w:jc w:val="both"/>
        <w:rPr>
          <w:rFonts w:ascii="Calibri" w:hAnsi="Calibri"/>
        </w:rPr>
      </w:pPr>
    </w:p>
    <w:p w14:paraId="63709BC4" w14:textId="77777777" w:rsidR="00DF270E" w:rsidRPr="00DF270E" w:rsidRDefault="00DF270E" w:rsidP="00DF270E">
      <w:pPr>
        <w:ind w:firstLine="708"/>
        <w:jc w:val="both"/>
        <w:rPr>
          <w:rFonts w:ascii="Calibri" w:hAnsi="Calibri"/>
          <w:b/>
        </w:rPr>
      </w:pPr>
      <w:r w:rsidRPr="00DF270E">
        <w:rPr>
          <w:rFonts w:ascii="Calibri" w:hAnsi="Calibri"/>
          <w:b/>
        </w:rPr>
        <w:t>Fatores que podem influenciar a inflação em 2025:</w:t>
      </w:r>
    </w:p>
    <w:p w14:paraId="7214ACE7" w14:textId="77777777" w:rsidR="00DF270E" w:rsidRPr="00DF270E" w:rsidRDefault="00DF270E" w:rsidP="00DF270E">
      <w:pPr>
        <w:jc w:val="both"/>
        <w:rPr>
          <w:rFonts w:ascii="Calibri" w:hAnsi="Calibri"/>
        </w:rPr>
      </w:pPr>
    </w:p>
    <w:p w14:paraId="1E3A200B" w14:textId="47140E3F" w:rsidR="00DF270E" w:rsidRPr="00DF270E" w:rsidRDefault="00DF270E" w:rsidP="00DF270E">
      <w:pPr>
        <w:pStyle w:val="PargrafodaLista"/>
        <w:numPr>
          <w:ilvl w:val="0"/>
          <w:numId w:val="14"/>
        </w:numPr>
        <w:jc w:val="both"/>
        <w:rPr>
          <w:rFonts w:ascii="Calibri" w:hAnsi="Calibri"/>
        </w:rPr>
      </w:pPr>
      <w:r w:rsidRPr="00DF270E">
        <w:rPr>
          <w:rFonts w:ascii="Calibri" w:hAnsi="Calibri"/>
          <w:b/>
        </w:rPr>
        <w:t>Política Monetária:</w:t>
      </w:r>
      <w:r w:rsidRPr="00DF270E">
        <w:rPr>
          <w:rFonts w:ascii="Calibri" w:hAnsi="Calibri"/>
        </w:rPr>
        <w:t xml:space="preserve"> As decisões do Banco Central em relação à taxa Selic continuarão a ter um impacto significativo na inflação. Um ajuste mais rápido da taxa pode conter a inflação, mas pode também desacelerar a economia.</w:t>
      </w:r>
    </w:p>
    <w:p w14:paraId="36EBFEDE" w14:textId="0CF24225" w:rsidR="00DF270E" w:rsidRPr="00DF270E" w:rsidRDefault="00DF270E" w:rsidP="00DF270E">
      <w:pPr>
        <w:pStyle w:val="PargrafodaLista"/>
        <w:numPr>
          <w:ilvl w:val="0"/>
          <w:numId w:val="14"/>
        </w:numPr>
        <w:jc w:val="both"/>
        <w:rPr>
          <w:rFonts w:ascii="Calibri" w:hAnsi="Calibri"/>
        </w:rPr>
      </w:pPr>
      <w:r w:rsidRPr="00DF270E">
        <w:rPr>
          <w:rFonts w:ascii="Calibri" w:hAnsi="Calibri"/>
          <w:b/>
        </w:rPr>
        <w:t>Choques Externos:</w:t>
      </w:r>
      <w:r w:rsidRPr="00DF270E">
        <w:rPr>
          <w:rFonts w:ascii="Calibri" w:hAnsi="Calibri"/>
        </w:rPr>
        <w:t xml:space="preserve"> Conflitos geopolíticos, variações nas cotações de commodities e mudanças nas políticas econômicas de outros países podem gerar novas pressões inflacionárias.</w:t>
      </w:r>
    </w:p>
    <w:p w14:paraId="169D5F52" w14:textId="0F5B91DA" w:rsidR="00DF270E" w:rsidRPr="00DF270E" w:rsidRDefault="00DF270E" w:rsidP="00DF270E">
      <w:pPr>
        <w:pStyle w:val="PargrafodaLista"/>
        <w:numPr>
          <w:ilvl w:val="0"/>
          <w:numId w:val="14"/>
        </w:numPr>
        <w:jc w:val="both"/>
        <w:rPr>
          <w:rFonts w:ascii="Calibri" w:hAnsi="Calibri"/>
        </w:rPr>
      </w:pPr>
      <w:r w:rsidRPr="00DF270E">
        <w:rPr>
          <w:rFonts w:ascii="Calibri" w:hAnsi="Calibri"/>
          <w:b/>
        </w:rPr>
        <w:t>Cenário Fiscal:</w:t>
      </w:r>
      <w:r w:rsidRPr="00DF270E">
        <w:rPr>
          <w:rFonts w:ascii="Calibri" w:hAnsi="Calibri"/>
        </w:rPr>
        <w:t xml:space="preserve"> A política fiscal do governo, incluindo gastos públicos e arrecadação de impostos, também influencia a demanda agregada e, consequentemente, a inflação.</w:t>
      </w:r>
    </w:p>
    <w:p w14:paraId="2E5E8A02" w14:textId="4E2475D9" w:rsidR="00DF270E" w:rsidRPr="00DF270E" w:rsidRDefault="00DF270E" w:rsidP="00DF270E">
      <w:pPr>
        <w:pStyle w:val="PargrafodaLista"/>
        <w:numPr>
          <w:ilvl w:val="0"/>
          <w:numId w:val="14"/>
        </w:numPr>
        <w:jc w:val="both"/>
        <w:rPr>
          <w:rFonts w:ascii="Calibri" w:hAnsi="Calibri"/>
        </w:rPr>
      </w:pPr>
      <w:r w:rsidRPr="00DF270E">
        <w:rPr>
          <w:rFonts w:ascii="Calibri" w:hAnsi="Calibri"/>
          <w:b/>
        </w:rPr>
        <w:t>Expectativas:</w:t>
      </w:r>
      <w:r w:rsidRPr="00DF270E">
        <w:rPr>
          <w:rFonts w:ascii="Calibri" w:hAnsi="Calibri"/>
        </w:rPr>
        <w:t xml:space="preserve"> As expectativas de inflação dos agentes econômicos são auto confirmadoras. Se as expectativas de alta inflação se consolidarem, isso pode gerar pressões inflacionárias adicionais.</w:t>
      </w:r>
    </w:p>
    <w:p w14:paraId="7BE1318F" w14:textId="20F251D1" w:rsidR="00DF270E" w:rsidRPr="00DF270E" w:rsidRDefault="00DF270E" w:rsidP="00DF270E">
      <w:pPr>
        <w:pStyle w:val="PargrafodaLista"/>
        <w:numPr>
          <w:ilvl w:val="0"/>
          <w:numId w:val="14"/>
        </w:numPr>
        <w:jc w:val="both"/>
        <w:rPr>
          <w:rFonts w:ascii="Calibri" w:hAnsi="Calibri"/>
        </w:rPr>
      </w:pPr>
      <w:r w:rsidRPr="00965E72">
        <w:rPr>
          <w:rFonts w:ascii="Calibri" w:hAnsi="Calibri"/>
          <w:b/>
        </w:rPr>
        <w:t>Cadeias de Suprimento:</w:t>
      </w:r>
      <w:r w:rsidRPr="00DF270E">
        <w:rPr>
          <w:rFonts w:ascii="Calibri" w:hAnsi="Calibri"/>
        </w:rPr>
        <w:t xml:space="preserve"> Desequilíbrios nas cadeias de suprimentos podem gerar gargalos e aumentos de preços.</w:t>
      </w:r>
    </w:p>
    <w:p w14:paraId="09373C0E" w14:textId="093934CF" w:rsidR="00DF270E" w:rsidRPr="00DF270E" w:rsidRDefault="00DF270E" w:rsidP="00DF270E">
      <w:pPr>
        <w:pStyle w:val="PargrafodaLista"/>
        <w:numPr>
          <w:ilvl w:val="0"/>
          <w:numId w:val="14"/>
        </w:numPr>
        <w:jc w:val="both"/>
        <w:rPr>
          <w:rFonts w:ascii="Calibri" w:hAnsi="Calibri"/>
        </w:rPr>
      </w:pPr>
      <w:r w:rsidRPr="00965E72">
        <w:rPr>
          <w:rFonts w:ascii="Calibri" w:hAnsi="Calibri"/>
          <w:b/>
        </w:rPr>
        <w:t>Mercado de Trabalho:</w:t>
      </w:r>
      <w:r w:rsidRPr="00DF270E">
        <w:rPr>
          <w:rFonts w:ascii="Calibri" w:hAnsi="Calibri"/>
        </w:rPr>
        <w:t xml:space="preserve"> A dinâmica do mercado de trabalho, como a taxa de desemprego e a negociação salarial, pode influenciar a demanda por bens e serviços e, consequentemente, a inflação.</w:t>
      </w:r>
    </w:p>
    <w:p w14:paraId="2707975D" w14:textId="77777777" w:rsidR="00DF270E" w:rsidRPr="00DF270E" w:rsidRDefault="00DF270E" w:rsidP="00DF270E">
      <w:pPr>
        <w:jc w:val="both"/>
        <w:rPr>
          <w:rFonts w:ascii="Calibri" w:hAnsi="Calibri"/>
        </w:rPr>
      </w:pPr>
    </w:p>
    <w:p w14:paraId="6946A00D" w14:textId="77777777" w:rsidR="00DF270E" w:rsidRPr="00965E72" w:rsidRDefault="00DF270E" w:rsidP="00965E72">
      <w:pPr>
        <w:ind w:firstLine="708"/>
        <w:jc w:val="both"/>
        <w:rPr>
          <w:rFonts w:ascii="Calibri" w:hAnsi="Calibri"/>
          <w:b/>
        </w:rPr>
      </w:pPr>
      <w:r w:rsidRPr="00965E72">
        <w:rPr>
          <w:rFonts w:ascii="Calibri" w:hAnsi="Calibri"/>
          <w:b/>
        </w:rPr>
        <w:t>Projeções:</w:t>
      </w:r>
    </w:p>
    <w:p w14:paraId="557707AF" w14:textId="77777777" w:rsidR="00DF270E" w:rsidRPr="00DF270E" w:rsidRDefault="00DF270E" w:rsidP="00DF270E">
      <w:pPr>
        <w:jc w:val="both"/>
        <w:rPr>
          <w:rFonts w:ascii="Calibri" w:hAnsi="Calibri"/>
        </w:rPr>
      </w:pPr>
    </w:p>
    <w:p w14:paraId="526EB32B" w14:textId="77777777" w:rsidR="00DF270E" w:rsidRPr="00DF270E" w:rsidRDefault="00DF270E" w:rsidP="00965E72">
      <w:pPr>
        <w:ind w:firstLine="708"/>
        <w:jc w:val="both"/>
        <w:rPr>
          <w:rFonts w:ascii="Calibri" w:hAnsi="Calibri"/>
        </w:rPr>
      </w:pPr>
      <w:r w:rsidRPr="00DF270E">
        <w:rPr>
          <w:rFonts w:ascii="Calibri" w:hAnsi="Calibri"/>
        </w:rPr>
        <w:t>As projeções para a inflação em 2025 variam entre diferentes instituições e analistas. No entanto, de forma geral, as expectativas são de uma gradual desaceleração da inflação, mas ainda acima da meta estabelecida pelo Banco Central.</w:t>
      </w:r>
    </w:p>
    <w:p w14:paraId="7BDC565A" w14:textId="77777777" w:rsidR="00DF270E" w:rsidRPr="00DF270E" w:rsidRDefault="00DF270E" w:rsidP="00DF270E">
      <w:pPr>
        <w:jc w:val="both"/>
        <w:rPr>
          <w:rFonts w:ascii="Calibri" w:hAnsi="Calibri"/>
        </w:rPr>
      </w:pPr>
    </w:p>
    <w:p w14:paraId="4EE9C3D0" w14:textId="77777777" w:rsidR="00DF270E" w:rsidRPr="00965E72" w:rsidRDefault="00DF270E" w:rsidP="00965E72">
      <w:pPr>
        <w:ind w:firstLine="708"/>
        <w:jc w:val="both"/>
        <w:rPr>
          <w:rFonts w:ascii="Calibri" w:hAnsi="Calibri"/>
          <w:b/>
        </w:rPr>
      </w:pPr>
      <w:r w:rsidRPr="00965E72">
        <w:rPr>
          <w:rFonts w:ascii="Calibri" w:hAnsi="Calibri"/>
          <w:b/>
        </w:rPr>
        <w:t>Fatores que podem contribuir para essa desaceleração:</w:t>
      </w:r>
    </w:p>
    <w:p w14:paraId="7909EBFC" w14:textId="77777777" w:rsidR="00DF270E" w:rsidRPr="00DF270E" w:rsidRDefault="00DF270E" w:rsidP="00DF270E">
      <w:pPr>
        <w:jc w:val="both"/>
        <w:rPr>
          <w:rFonts w:ascii="Calibri" w:hAnsi="Calibri"/>
        </w:rPr>
      </w:pPr>
    </w:p>
    <w:p w14:paraId="0CAF1232" w14:textId="23CEB54A" w:rsidR="00DF270E" w:rsidRDefault="00DF270E" w:rsidP="00965E72">
      <w:pPr>
        <w:pStyle w:val="PargrafodaLista"/>
        <w:numPr>
          <w:ilvl w:val="0"/>
          <w:numId w:val="15"/>
        </w:numPr>
        <w:jc w:val="both"/>
        <w:rPr>
          <w:rFonts w:ascii="Calibri" w:hAnsi="Calibri"/>
        </w:rPr>
      </w:pPr>
      <w:r w:rsidRPr="00965E72">
        <w:rPr>
          <w:rFonts w:ascii="Calibri" w:hAnsi="Calibri"/>
        </w:rPr>
        <w:t>Aumento da taxa de juros: A política monetária restritiva em curso visa conter a demanda e, consequentemente, a inflação.</w:t>
      </w:r>
    </w:p>
    <w:p w14:paraId="4C0DADD3" w14:textId="77777777" w:rsidR="00205EEF" w:rsidRPr="00205EEF" w:rsidRDefault="00205EEF" w:rsidP="00205EEF">
      <w:pPr>
        <w:ind w:left="360"/>
        <w:jc w:val="both"/>
        <w:rPr>
          <w:rFonts w:ascii="Calibri" w:hAnsi="Calibri"/>
        </w:rPr>
      </w:pPr>
    </w:p>
    <w:p w14:paraId="74ADF80B" w14:textId="77777777" w:rsidR="00965E72" w:rsidRDefault="00965E72" w:rsidP="00965E72">
      <w:pPr>
        <w:pStyle w:val="PargrafodaLista"/>
        <w:jc w:val="both"/>
        <w:rPr>
          <w:rFonts w:ascii="Calibri" w:hAnsi="Calibri"/>
        </w:rPr>
      </w:pPr>
    </w:p>
    <w:p w14:paraId="3359AE27" w14:textId="651BC052" w:rsidR="00DF270E" w:rsidRPr="00965E72" w:rsidRDefault="00DF270E" w:rsidP="00965E72">
      <w:pPr>
        <w:pStyle w:val="PargrafodaLista"/>
        <w:numPr>
          <w:ilvl w:val="0"/>
          <w:numId w:val="15"/>
        </w:numPr>
        <w:jc w:val="both"/>
        <w:rPr>
          <w:rFonts w:ascii="Calibri" w:hAnsi="Calibri"/>
        </w:rPr>
      </w:pPr>
      <w:r w:rsidRPr="00965E72">
        <w:rPr>
          <w:rFonts w:ascii="Calibri" w:hAnsi="Calibri"/>
        </w:rPr>
        <w:t>Arrefecimento da economia global: Um crescimento mais lento da economia global pode reduzir a demanda por produtos brasileiros e aliviar as pressões inflacionárias.</w:t>
      </w:r>
    </w:p>
    <w:p w14:paraId="127AEB88" w14:textId="7738C21D" w:rsidR="00DF270E" w:rsidRPr="00965E72" w:rsidRDefault="00965E72" w:rsidP="00965E72">
      <w:pPr>
        <w:pStyle w:val="PargrafodaLista"/>
        <w:numPr>
          <w:ilvl w:val="0"/>
          <w:numId w:val="15"/>
        </w:numPr>
        <w:jc w:val="both"/>
        <w:rPr>
          <w:rFonts w:ascii="Calibri" w:hAnsi="Calibri"/>
        </w:rPr>
      </w:pPr>
      <w:r w:rsidRPr="00965E72">
        <w:rPr>
          <w:rFonts w:ascii="Calibri" w:hAnsi="Calibri"/>
        </w:rPr>
        <w:t>M</w:t>
      </w:r>
      <w:r w:rsidR="00DF270E" w:rsidRPr="00965E72">
        <w:rPr>
          <w:rFonts w:ascii="Calibri" w:hAnsi="Calibri"/>
        </w:rPr>
        <w:t>elhora nas cadeias de suprimentos: A normalização das cadeias de suprimentos pode ajudar a reduzir os custos de produção e, consequentemente, os preços finais.</w:t>
      </w:r>
    </w:p>
    <w:p w14:paraId="10AA8053" w14:textId="77777777" w:rsidR="00DF270E" w:rsidRPr="00DF270E" w:rsidRDefault="00DF270E" w:rsidP="00DF270E">
      <w:pPr>
        <w:jc w:val="both"/>
        <w:rPr>
          <w:rFonts w:ascii="Calibri" w:hAnsi="Calibri"/>
        </w:rPr>
      </w:pPr>
    </w:p>
    <w:p w14:paraId="7809A14D" w14:textId="77777777" w:rsidR="00DF270E" w:rsidRPr="00965E72" w:rsidRDefault="00DF270E" w:rsidP="00965E72">
      <w:pPr>
        <w:ind w:firstLine="708"/>
        <w:jc w:val="both"/>
        <w:rPr>
          <w:rFonts w:ascii="Calibri" w:hAnsi="Calibri"/>
          <w:b/>
        </w:rPr>
      </w:pPr>
      <w:r w:rsidRPr="00965E72">
        <w:rPr>
          <w:rFonts w:ascii="Calibri" w:hAnsi="Calibri"/>
          <w:b/>
        </w:rPr>
        <w:t>Desafios:</w:t>
      </w:r>
    </w:p>
    <w:p w14:paraId="247E0D2C" w14:textId="77777777" w:rsidR="00DF270E" w:rsidRPr="00DF270E" w:rsidRDefault="00DF270E" w:rsidP="00DF270E">
      <w:pPr>
        <w:jc w:val="both"/>
        <w:rPr>
          <w:rFonts w:ascii="Calibri" w:hAnsi="Calibri"/>
        </w:rPr>
      </w:pPr>
    </w:p>
    <w:p w14:paraId="12CC10C0" w14:textId="27018B52" w:rsidR="00DF270E" w:rsidRPr="00965E72" w:rsidRDefault="00DF270E" w:rsidP="00965E72">
      <w:pPr>
        <w:pStyle w:val="PargrafodaLista"/>
        <w:numPr>
          <w:ilvl w:val="0"/>
          <w:numId w:val="16"/>
        </w:numPr>
        <w:jc w:val="both"/>
        <w:rPr>
          <w:rFonts w:ascii="Calibri" w:hAnsi="Calibri"/>
        </w:rPr>
      </w:pPr>
      <w:r w:rsidRPr="00965E72">
        <w:rPr>
          <w:rFonts w:ascii="Calibri" w:hAnsi="Calibri"/>
          <w:b/>
        </w:rPr>
        <w:t>Choques exógenos:</w:t>
      </w:r>
      <w:r w:rsidRPr="00965E72">
        <w:rPr>
          <w:rFonts w:ascii="Calibri" w:hAnsi="Calibri"/>
        </w:rPr>
        <w:t xml:space="preserve"> Eventos imprevistos, como novas ondas de pandemia ou conflitos geopolíticos, podem gerar novas pressões inflacionárias.</w:t>
      </w:r>
    </w:p>
    <w:p w14:paraId="39AB5F55" w14:textId="0F2FC17C" w:rsidR="00DF270E" w:rsidRPr="00965E72" w:rsidRDefault="00DF270E" w:rsidP="00965E72">
      <w:pPr>
        <w:pStyle w:val="PargrafodaLista"/>
        <w:numPr>
          <w:ilvl w:val="0"/>
          <w:numId w:val="16"/>
        </w:numPr>
        <w:jc w:val="both"/>
        <w:rPr>
          <w:rFonts w:ascii="Calibri" w:hAnsi="Calibri"/>
        </w:rPr>
      </w:pPr>
      <w:r w:rsidRPr="00965E72">
        <w:rPr>
          <w:rFonts w:ascii="Calibri" w:hAnsi="Calibri"/>
          <w:b/>
        </w:rPr>
        <w:t>Incertezas políticas:</w:t>
      </w:r>
      <w:r w:rsidRPr="00965E72">
        <w:rPr>
          <w:rFonts w:ascii="Calibri" w:hAnsi="Calibri"/>
        </w:rPr>
        <w:t xml:space="preserve"> Um ambiente político instável pode gerar incertezas e dificultar o planejamento das empresas e dos consumidores, o que pode levar a um aumento dos preços.</w:t>
      </w:r>
    </w:p>
    <w:p w14:paraId="7E750196" w14:textId="5A5F2619" w:rsidR="00DF270E" w:rsidRPr="00965E72" w:rsidRDefault="00DF270E" w:rsidP="00965E72">
      <w:pPr>
        <w:pStyle w:val="PargrafodaLista"/>
        <w:numPr>
          <w:ilvl w:val="0"/>
          <w:numId w:val="16"/>
        </w:numPr>
        <w:jc w:val="both"/>
        <w:rPr>
          <w:rFonts w:ascii="Calibri" w:hAnsi="Calibri"/>
        </w:rPr>
      </w:pPr>
      <w:r w:rsidRPr="00965E72">
        <w:rPr>
          <w:rFonts w:ascii="Calibri" w:hAnsi="Calibri"/>
          <w:b/>
        </w:rPr>
        <w:t>Adaptação à nova meta de inflação:</w:t>
      </w:r>
      <w:r w:rsidRPr="00965E72">
        <w:rPr>
          <w:rFonts w:ascii="Calibri" w:hAnsi="Calibri"/>
        </w:rPr>
        <w:t xml:space="preserve"> A transição para a nova meta de inflação contínua pode exigir ajustes na política monetária e fiscal.</w:t>
      </w:r>
    </w:p>
    <w:p w14:paraId="69CAE328" w14:textId="77777777" w:rsidR="00DF270E" w:rsidRPr="00DF270E" w:rsidRDefault="00DF270E" w:rsidP="00DF270E">
      <w:pPr>
        <w:jc w:val="both"/>
        <w:rPr>
          <w:rFonts w:ascii="Calibri" w:hAnsi="Calibri"/>
        </w:rPr>
      </w:pPr>
    </w:p>
    <w:p w14:paraId="2779658D" w14:textId="77777777" w:rsidR="00DF270E" w:rsidRPr="00DF270E" w:rsidRDefault="00DF270E" w:rsidP="00965E72">
      <w:pPr>
        <w:ind w:firstLine="708"/>
        <w:jc w:val="both"/>
        <w:rPr>
          <w:rFonts w:ascii="Calibri" w:hAnsi="Calibri"/>
        </w:rPr>
      </w:pPr>
      <w:r w:rsidRPr="00DF270E">
        <w:rPr>
          <w:rFonts w:ascii="Calibri" w:hAnsi="Calibri"/>
        </w:rPr>
        <w:t>Em resumo, a inflação em 2025 será determinada por um conjunto de fatores complexos e interligados. É fundamental acompanhar de perto as decisões de política econômica, os indicadores de atividade econômica e os eventos globais para ter uma visão mais precisa do cenário inflacionário.</w:t>
      </w:r>
    </w:p>
    <w:p w14:paraId="77399AE6" w14:textId="4AD7E5A2" w:rsidR="00DF270E" w:rsidRDefault="00DF270E" w:rsidP="00DF270E">
      <w:pPr>
        <w:jc w:val="both"/>
        <w:rPr>
          <w:rFonts w:ascii="Calibri" w:hAnsi="Calibri"/>
        </w:rPr>
      </w:pPr>
    </w:p>
    <w:p w14:paraId="57915416" w14:textId="62AE3EED" w:rsidR="00965E72" w:rsidRDefault="00965E72" w:rsidP="00965E72">
      <w:pPr>
        <w:pStyle w:val="Ttulo2"/>
        <w:numPr>
          <w:ilvl w:val="1"/>
          <w:numId w:val="10"/>
        </w:numPr>
      </w:pPr>
      <w:bookmarkStart w:id="4" w:name="_Toc180593250"/>
      <w:r>
        <w:t>Taxa de Juros</w:t>
      </w:r>
      <w:bookmarkEnd w:id="4"/>
    </w:p>
    <w:p w14:paraId="51B0E6B5" w14:textId="7F5E76EB" w:rsidR="00965E72" w:rsidRDefault="00965E72" w:rsidP="00965E72"/>
    <w:p w14:paraId="76BF4728" w14:textId="2A218CA1" w:rsidR="00965E72" w:rsidRDefault="00965E72" w:rsidP="00965E72">
      <w:pPr>
        <w:ind w:firstLine="708"/>
        <w:jc w:val="both"/>
        <w:rPr>
          <w:rFonts w:ascii="Calibri" w:hAnsi="Calibri"/>
        </w:rPr>
      </w:pPr>
      <w:r w:rsidRPr="00965E72">
        <w:rPr>
          <w:rFonts w:ascii="Calibri" w:hAnsi="Calibri"/>
        </w:rPr>
        <w:t>A trajetória da taxa de juros no Brasil em 2025 é um tema que gera grande expectativa e incerteza, dependendo de uma série de fatores.</w:t>
      </w:r>
    </w:p>
    <w:p w14:paraId="641CC864" w14:textId="77777777" w:rsidR="00965E72" w:rsidRPr="00965E72" w:rsidRDefault="00965E72" w:rsidP="00965E72">
      <w:pPr>
        <w:ind w:firstLine="708"/>
        <w:jc w:val="both"/>
        <w:rPr>
          <w:rFonts w:ascii="Calibri" w:hAnsi="Calibri"/>
        </w:rPr>
      </w:pPr>
    </w:p>
    <w:p w14:paraId="2319D2F4" w14:textId="77777777" w:rsidR="00965E72" w:rsidRPr="00965E72" w:rsidRDefault="00965E72" w:rsidP="00965E72">
      <w:pPr>
        <w:ind w:firstLine="708"/>
        <w:jc w:val="both"/>
        <w:rPr>
          <w:rFonts w:ascii="Calibri" w:hAnsi="Calibri"/>
          <w:b/>
        </w:rPr>
      </w:pPr>
      <w:r w:rsidRPr="00965E72">
        <w:rPr>
          <w:rFonts w:ascii="Calibri" w:hAnsi="Calibri"/>
          <w:b/>
        </w:rPr>
        <w:t>Fatores que podem influenciar a taxa de juros em 2025:</w:t>
      </w:r>
    </w:p>
    <w:p w14:paraId="30BE9336" w14:textId="77777777" w:rsidR="00965E72" w:rsidRPr="00965E72" w:rsidRDefault="00965E72" w:rsidP="00965E72">
      <w:pPr>
        <w:jc w:val="both"/>
        <w:rPr>
          <w:rFonts w:ascii="Calibri" w:hAnsi="Calibri"/>
        </w:rPr>
      </w:pPr>
    </w:p>
    <w:p w14:paraId="1A225DC7" w14:textId="619222E0" w:rsidR="00965E72" w:rsidRPr="00965E72" w:rsidRDefault="00965E72" w:rsidP="00965E72">
      <w:pPr>
        <w:pStyle w:val="PargrafodaLista"/>
        <w:numPr>
          <w:ilvl w:val="0"/>
          <w:numId w:val="17"/>
        </w:numPr>
        <w:jc w:val="both"/>
        <w:rPr>
          <w:rFonts w:ascii="Calibri" w:hAnsi="Calibri"/>
        </w:rPr>
      </w:pPr>
      <w:r w:rsidRPr="00965E72">
        <w:rPr>
          <w:rFonts w:ascii="Calibri" w:hAnsi="Calibri"/>
          <w:b/>
        </w:rPr>
        <w:t>Inflação:</w:t>
      </w:r>
      <w:r w:rsidRPr="00965E72">
        <w:rPr>
          <w:rFonts w:ascii="Calibri" w:hAnsi="Calibri"/>
        </w:rPr>
        <w:t xml:space="preserve"> O principal objetivo da política monetária é controlar a inflação. Se a inflação persistir acima da meta, o Banco Central pode ser pressionado a manter os juros em níveis elevados por mais tempo.</w:t>
      </w:r>
    </w:p>
    <w:p w14:paraId="337468FF" w14:textId="566BD70C" w:rsidR="00965E72" w:rsidRPr="00965E72" w:rsidRDefault="00965E72" w:rsidP="00965E72">
      <w:pPr>
        <w:pStyle w:val="PargrafodaLista"/>
        <w:numPr>
          <w:ilvl w:val="0"/>
          <w:numId w:val="17"/>
        </w:numPr>
        <w:jc w:val="both"/>
        <w:rPr>
          <w:rFonts w:ascii="Calibri" w:hAnsi="Calibri"/>
        </w:rPr>
      </w:pPr>
      <w:r w:rsidRPr="00965E72">
        <w:rPr>
          <w:rFonts w:ascii="Calibri" w:hAnsi="Calibri"/>
          <w:b/>
        </w:rPr>
        <w:t>Crescimento Econômico:</w:t>
      </w:r>
      <w:r w:rsidRPr="00965E72">
        <w:rPr>
          <w:rFonts w:ascii="Calibri" w:hAnsi="Calibri"/>
        </w:rPr>
        <w:t xml:space="preserve"> A taxa de crescimento da economia brasileira também influencia a decisão de política monetária. Um crescimento mais forte pode gerar pressões inflacionárias, exigindo juros mais altos.</w:t>
      </w:r>
    </w:p>
    <w:p w14:paraId="3D220E2B" w14:textId="457675EF" w:rsidR="00965E72" w:rsidRDefault="00965E72" w:rsidP="00965E72">
      <w:pPr>
        <w:pStyle w:val="PargrafodaLista"/>
        <w:jc w:val="both"/>
        <w:rPr>
          <w:rFonts w:ascii="Calibri" w:hAnsi="Calibri"/>
        </w:rPr>
      </w:pPr>
    </w:p>
    <w:p w14:paraId="6C973C38" w14:textId="7CD56DFD" w:rsidR="00965E72" w:rsidRDefault="00965E72" w:rsidP="00965E72">
      <w:pPr>
        <w:pStyle w:val="PargrafodaLista"/>
        <w:jc w:val="both"/>
        <w:rPr>
          <w:rFonts w:ascii="Calibri" w:hAnsi="Calibri"/>
        </w:rPr>
      </w:pPr>
    </w:p>
    <w:p w14:paraId="22E97840" w14:textId="77777777" w:rsidR="00965E72" w:rsidRDefault="00965E72" w:rsidP="00965E72">
      <w:pPr>
        <w:pStyle w:val="PargrafodaLista"/>
        <w:jc w:val="both"/>
        <w:rPr>
          <w:rFonts w:ascii="Calibri" w:hAnsi="Calibri"/>
        </w:rPr>
      </w:pPr>
    </w:p>
    <w:p w14:paraId="13ECBFFA" w14:textId="35C0B665" w:rsidR="00965E72" w:rsidRPr="00965E72" w:rsidRDefault="00965E72" w:rsidP="00965E72">
      <w:pPr>
        <w:pStyle w:val="PargrafodaLista"/>
        <w:numPr>
          <w:ilvl w:val="0"/>
          <w:numId w:val="17"/>
        </w:numPr>
        <w:jc w:val="both"/>
        <w:rPr>
          <w:rFonts w:ascii="Calibri" w:hAnsi="Calibri"/>
        </w:rPr>
      </w:pPr>
      <w:r w:rsidRPr="00965E72">
        <w:rPr>
          <w:rFonts w:ascii="Calibri" w:hAnsi="Calibri"/>
          <w:b/>
        </w:rPr>
        <w:t>Cenário Internacional:</w:t>
      </w:r>
      <w:r w:rsidRPr="00965E72">
        <w:rPr>
          <w:rFonts w:ascii="Calibri" w:hAnsi="Calibri"/>
        </w:rPr>
        <w:t xml:space="preserve"> Choques externos, como guerras, crises financeiras e variações nas cotações de commodities, podem afetar a economia brasileira e a política monetária.</w:t>
      </w:r>
    </w:p>
    <w:p w14:paraId="7C8D9C47" w14:textId="00005339" w:rsidR="00965E72" w:rsidRPr="00965E72" w:rsidRDefault="00965E72" w:rsidP="00965E72">
      <w:pPr>
        <w:pStyle w:val="PargrafodaLista"/>
        <w:numPr>
          <w:ilvl w:val="0"/>
          <w:numId w:val="17"/>
        </w:numPr>
        <w:jc w:val="both"/>
        <w:rPr>
          <w:rFonts w:ascii="Calibri" w:hAnsi="Calibri"/>
        </w:rPr>
      </w:pPr>
      <w:r w:rsidRPr="00965E72">
        <w:rPr>
          <w:rFonts w:ascii="Calibri" w:hAnsi="Calibri"/>
          <w:b/>
        </w:rPr>
        <w:t>Expectativas:</w:t>
      </w:r>
      <w:r w:rsidRPr="00965E72">
        <w:rPr>
          <w:rFonts w:ascii="Calibri" w:hAnsi="Calibri"/>
        </w:rPr>
        <w:t xml:space="preserve"> As expectativas dos agentes econômicos em relação à inflação futura e à política monetária são importantes para determinar a trajetória dos juros.</w:t>
      </w:r>
    </w:p>
    <w:p w14:paraId="5FB1546A" w14:textId="3DC2F752" w:rsidR="00965E72" w:rsidRPr="00965E72" w:rsidRDefault="00965E72" w:rsidP="00965E72">
      <w:pPr>
        <w:pStyle w:val="PargrafodaLista"/>
        <w:numPr>
          <w:ilvl w:val="0"/>
          <w:numId w:val="17"/>
        </w:numPr>
        <w:jc w:val="both"/>
        <w:rPr>
          <w:rFonts w:ascii="Calibri" w:hAnsi="Calibri"/>
        </w:rPr>
      </w:pPr>
      <w:r w:rsidRPr="00965E72">
        <w:rPr>
          <w:rFonts w:ascii="Calibri" w:hAnsi="Calibri"/>
          <w:b/>
        </w:rPr>
        <w:t>Política Fiscal:</w:t>
      </w:r>
      <w:r w:rsidRPr="00965E72">
        <w:rPr>
          <w:rFonts w:ascii="Calibri" w:hAnsi="Calibri"/>
        </w:rPr>
        <w:t xml:space="preserve"> As decisões do governo em relação aos gastos públicos e à arrecadação de impostos podem influenciar a demanda agregada e, consequentemente, a inflação e os juros.</w:t>
      </w:r>
    </w:p>
    <w:p w14:paraId="310053D4" w14:textId="77777777" w:rsidR="00965E72" w:rsidRPr="00965E72" w:rsidRDefault="00965E72" w:rsidP="00965E72">
      <w:pPr>
        <w:jc w:val="both"/>
        <w:rPr>
          <w:rFonts w:ascii="Calibri" w:hAnsi="Calibri"/>
        </w:rPr>
      </w:pPr>
    </w:p>
    <w:p w14:paraId="749CC660" w14:textId="77777777" w:rsidR="00965E72" w:rsidRPr="00965E72" w:rsidRDefault="00965E72" w:rsidP="00965E72">
      <w:pPr>
        <w:ind w:firstLine="708"/>
        <w:jc w:val="both"/>
        <w:rPr>
          <w:rFonts w:ascii="Calibri" w:hAnsi="Calibri"/>
          <w:b/>
        </w:rPr>
      </w:pPr>
      <w:r w:rsidRPr="00965E72">
        <w:rPr>
          <w:rFonts w:ascii="Calibri" w:hAnsi="Calibri"/>
          <w:b/>
        </w:rPr>
        <w:t>Projeções:</w:t>
      </w:r>
    </w:p>
    <w:p w14:paraId="3D735353" w14:textId="77777777" w:rsidR="00965E72" w:rsidRPr="00965E72" w:rsidRDefault="00965E72" w:rsidP="00965E72">
      <w:pPr>
        <w:jc w:val="both"/>
        <w:rPr>
          <w:rFonts w:ascii="Calibri" w:hAnsi="Calibri"/>
        </w:rPr>
      </w:pPr>
    </w:p>
    <w:p w14:paraId="0C507A23" w14:textId="77777777" w:rsidR="00965E72" w:rsidRPr="00965E72" w:rsidRDefault="00965E72" w:rsidP="00965E72">
      <w:pPr>
        <w:ind w:firstLine="708"/>
        <w:jc w:val="both"/>
        <w:rPr>
          <w:rFonts w:ascii="Calibri" w:hAnsi="Calibri"/>
        </w:rPr>
      </w:pPr>
      <w:r w:rsidRPr="00965E72">
        <w:rPr>
          <w:rFonts w:ascii="Calibri" w:hAnsi="Calibri"/>
        </w:rPr>
        <w:t>As projeções para a taxa de juros em 2025 variam entre diferentes instituições e analistas. No entanto, de forma geral, as expectativas são de uma gradual redução da taxa Selic ao longo do ano, mas ainda em níveis elevados em comparação com os anos anteriores.</w:t>
      </w:r>
    </w:p>
    <w:p w14:paraId="066A422C" w14:textId="77777777" w:rsidR="00965E72" w:rsidRPr="00965E72" w:rsidRDefault="00965E72" w:rsidP="00965E72">
      <w:pPr>
        <w:jc w:val="both"/>
        <w:rPr>
          <w:rFonts w:ascii="Calibri" w:hAnsi="Calibri"/>
        </w:rPr>
      </w:pPr>
    </w:p>
    <w:p w14:paraId="357940F7" w14:textId="77777777" w:rsidR="00965E72" w:rsidRPr="0067576E" w:rsidRDefault="00965E72" w:rsidP="0067576E">
      <w:pPr>
        <w:ind w:firstLine="708"/>
        <w:jc w:val="both"/>
        <w:rPr>
          <w:rFonts w:ascii="Calibri" w:hAnsi="Calibri"/>
          <w:b/>
        </w:rPr>
      </w:pPr>
      <w:r w:rsidRPr="0067576E">
        <w:rPr>
          <w:rFonts w:ascii="Calibri" w:hAnsi="Calibri"/>
          <w:b/>
        </w:rPr>
        <w:t>Fatores que podem contribuir para essa redução:</w:t>
      </w:r>
    </w:p>
    <w:p w14:paraId="07BE194D" w14:textId="77777777" w:rsidR="00965E72" w:rsidRPr="00965E72" w:rsidRDefault="00965E72" w:rsidP="00965E72">
      <w:pPr>
        <w:jc w:val="both"/>
        <w:rPr>
          <w:rFonts w:ascii="Calibri" w:hAnsi="Calibri"/>
        </w:rPr>
      </w:pPr>
    </w:p>
    <w:p w14:paraId="22DD6316" w14:textId="0DD32DB7" w:rsidR="00965E72" w:rsidRPr="0067576E" w:rsidRDefault="00965E72" w:rsidP="0067576E">
      <w:pPr>
        <w:pStyle w:val="PargrafodaLista"/>
        <w:numPr>
          <w:ilvl w:val="0"/>
          <w:numId w:val="18"/>
        </w:numPr>
        <w:jc w:val="both"/>
        <w:rPr>
          <w:rFonts w:ascii="Calibri" w:hAnsi="Calibri"/>
        </w:rPr>
      </w:pPr>
      <w:r w:rsidRPr="0067576E">
        <w:rPr>
          <w:rFonts w:ascii="Calibri" w:hAnsi="Calibri"/>
          <w:b/>
        </w:rPr>
        <w:t>Arrefecimento da inflação:</w:t>
      </w:r>
      <w:r w:rsidRPr="0067576E">
        <w:rPr>
          <w:rFonts w:ascii="Calibri" w:hAnsi="Calibri"/>
        </w:rPr>
        <w:t xml:space="preserve"> Se a inflação continuar desacelerando, o Banco Central pode ter mais espaço para reduzir a taxa de juros.</w:t>
      </w:r>
    </w:p>
    <w:p w14:paraId="222EFABE" w14:textId="0E05483D" w:rsidR="00965E72" w:rsidRPr="0067576E" w:rsidRDefault="00965E72" w:rsidP="0067576E">
      <w:pPr>
        <w:pStyle w:val="PargrafodaLista"/>
        <w:numPr>
          <w:ilvl w:val="0"/>
          <w:numId w:val="18"/>
        </w:numPr>
        <w:jc w:val="both"/>
        <w:rPr>
          <w:rFonts w:ascii="Calibri" w:hAnsi="Calibri"/>
        </w:rPr>
      </w:pPr>
      <w:r w:rsidRPr="0067576E">
        <w:rPr>
          <w:rFonts w:ascii="Calibri" w:hAnsi="Calibri"/>
          <w:b/>
        </w:rPr>
        <w:t>Crescimento econômico mais fraco:</w:t>
      </w:r>
      <w:r w:rsidRPr="0067576E">
        <w:rPr>
          <w:rFonts w:ascii="Calibri" w:hAnsi="Calibri"/>
        </w:rPr>
        <w:t xml:space="preserve"> Um crescimento econômico mais lento pode reduzir as pressões inflacionárias e permitir uma política monetária mais expansionista.</w:t>
      </w:r>
    </w:p>
    <w:p w14:paraId="7F5603E4" w14:textId="17FBEAB2" w:rsidR="00965E72" w:rsidRPr="0067576E" w:rsidRDefault="00965E72" w:rsidP="0067576E">
      <w:pPr>
        <w:pStyle w:val="PargrafodaLista"/>
        <w:numPr>
          <w:ilvl w:val="0"/>
          <w:numId w:val="18"/>
        </w:numPr>
        <w:jc w:val="both"/>
        <w:rPr>
          <w:rFonts w:ascii="Calibri" w:hAnsi="Calibri"/>
        </w:rPr>
      </w:pPr>
      <w:r w:rsidRPr="0067576E">
        <w:rPr>
          <w:rFonts w:ascii="Calibri" w:hAnsi="Calibri"/>
          <w:b/>
        </w:rPr>
        <w:t>Melhora do cenário fiscal:</w:t>
      </w:r>
      <w:r w:rsidRPr="0067576E">
        <w:rPr>
          <w:rFonts w:ascii="Calibri" w:hAnsi="Calibri"/>
        </w:rPr>
        <w:t xml:space="preserve"> Uma política fiscal mais responsável pode contribuir para a redução da inflação e permitir uma queda nos juros.</w:t>
      </w:r>
    </w:p>
    <w:p w14:paraId="21E03CDD" w14:textId="77777777" w:rsidR="00965E72" w:rsidRPr="00965E72" w:rsidRDefault="00965E72" w:rsidP="00965E72">
      <w:pPr>
        <w:jc w:val="both"/>
        <w:rPr>
          <w:rFonts w:ascii="Calibri" w:hAnsi="Calibri"/>
        </w:rPr>
      </w:pPr>
    </w:p>
    <w:p w14:paraId="328BA7A7" w14:textId="77777777" w:rsidR="00965E72" w:rsidRPr="0067576E" w:rsidRDefault="00965E72" w:rsidP="0067576E">
      <w:pPr>
        <w:ind w:firstLine="708"/>
        <w:jc w:val="both"/>
        <w:rPr>
          <w:rFonts w:ascii="Calibri" w:hAnsi="Calibri"/>
          <w:b/>
        </w:rPr>
      </w:pPr>
      <w:r w:rsidRPr="0067576E">
        <w:rPr>
          <w:rFonts w:ascii="Calibri" w:hAnsi="Calibri"/>
          <w:b/>
        </w:rPr>
        <w:t>Desafios:</w:t>
      </w:r>
    </w:p>
    <w:p w14:paraId="32AB8271" w14:textId="77777777" w:rsidR="00965E72" w:rsidRPr="00965E72" w:rsidRDefault="00965E72" w:rsidP="00965E72">
      <w:pPr>
        <w:jc w:val="both"/>
        <w:rPr>
          <w:rFonts w:ascii="Calibri" w:hAnsi="Calibri"/>
        </w:rPr>
      </w:pPr>
    </w:p>
    <w:p w14:paraId="78B7FB8B" w14:textId="22DC03E2" w:rsidR="00965E72" w:rsidRPr="0067576E" w:rsidRDefault="00965E72" w:rsidP="0067576E">
      <w:pPr>
        <w:pStyle w:val="PargrafodaLista"/>
        <w:numPr>
          <w:ilvl w:val="0"/>
          <w:numId w:val="19"/>
        </w:numPr>
        <w:jc w:val="both"/>
        <w:rPr>
          <w:rFonts w:ascii="Calibri" w:hAnsi="Calibri"/>
        </w:rPr>
      </w:pPr>
      <w:r w:rsidRPr="0067576E">
        <w:rPr>
          <w:rFonts w:ascii="Calibri" w:hAnsi="Calibri"/>
          <w:b/>
        </w:rPr>
        <w:t>Choques exógenos:</w:t>
      </w:r>
      <w:r w:rsidRPr="0067576E">
        <w:rPr>
          <w:rFonts w:ascii="Calibri" w:hAnsi="Calibri"/>
        </w:rPr>
        <w:t xml:space="preserve"> Eventos imprevistos, como novas ondas de pandemia ou conflitos geopolíticos, podem levar a uma maior incerteza e dificultar o processo de redução dos juros.</w:t>
      </w:r>
    </w:p>
    <w:p w14:paraId="453A032D" w14:textId="2AE4D774" w:rsidR="00965E72" w:rsidRPr="0067576E" w:rsidRDefault="00965E72" w:rsidP="0067576E">
      <w:pPr>
        <w:pStyle w:val="PargrafodaLista"/>
        <w:numPr>
          <w:ilvl w:val="0"/>
          <w:numId w:val="19"/>
        </w:numPr>
        <w:jc w:val="both"/>
        <w:rPr>
          <w:rFonts w:ascii="Calibri" w:hAnsi="Calibri"/>
        </w:rPr>
      </w:pPr>
      <w:r w:rsidRPr="0067576E">
        <w:rPr>
          <w:rFonts w:ascii="Calibri" w:hAnsi="Calibri"/>
          <w:b/>
        </w:rPr>
        <w:t>Incertezas políticas:</w:t>
      </w:r>
      <w:r w:rsidRPr="0067576E">
        <w:rPr>
          <w:rFonts w:ascii="Calibri" w:hAnsi="Calibri"/>
        </w:rPr>
        <w:t xml:space="preserve"> Um ambiente político instável pode gerar incertezas e dificultar o planejamento das empresas e dos consumidores, o que pode levar a um aumento dos juros.</w:t>
      </w:r>
    </w:p>
    <w:p w14:paraId="5D989C9A" w14:textId="07F70692" w:rsidR="00965E72" w:rsidRPr="0067576E" w:rsidRDefault="00965E72" w:rsidP="0067576E">
      <w:pPr>
        <w:pStyle w:val="PargrafodaLista"/>
        <w:numPr>
          <w:ilvl w:val="0"/>
          <w:numId w:val="19"/>
        </w:numPr>
        <w:jc w:val="both"/>
        <w:rPr>
          <w:rFonts w:ascii="Calibri" w:hAnsi="Calibri"/>
        </w:rPr>
      </w:pPr>
      <w:r w:rsidRPr="0067576E">
        <w:rPr>
          <w:rFonts w:ascii="Calibri" w:hAnsi="Calibri"/>
          <w:b/>
        </w:rPr>
        <w:t>Adaptação à nova meta de inflação:</w:t>
      </w:r>
      <w:r w:rsidRPr="0067576E">
        <w:rPr>
          <w:rFonts w:ascii="Calibri" w:hAnsi="Calibri"/>
        </w:rPr>
        <w:t xml:space="preserve"> A transição para a nova meta de inflação contínua pode exigir ajustes na política monetária.</w:t>
      </w:r>
    </w:p>
    <w:p w14:paraId="42BCB62F" w14:textId="77777777" w:rsidR="00965E72" w:rsidRPr="00965E72" w:rsidRDefault="00965E72" w:rsidP="00965E72">
      <w:pPr>
        <w:jc w:val="both"/>
        <w:rPr>
          <w:rFonts w:ascii="Calibri" w:hAnsi="Calibri"/>
        </w:rPr>
      </w:pPr>
    </w:p>
    <w:p w14:paraId="5719E538" w14:textId="77777777" w:rsidR="0067576E" w:rsidRDefault="0067576E" w:rsidP="00965E72">
      <w:pPr>
        <w:jc w:val="both"/>
        <w:rPr>
          <w:rFonts w:ascii="Calibri" w:hAnsi="Calibri"/>
        </w:rPr>
      </w:pPr>
    </w:p>
    <w:p w14:paraId="66051785" w14:textId="284CB8F8" w:rsidR="00965E72" w:rsidRDefault="00965E72" w:rsidP="0067576E">
      <w:pPr>
        <w:ind w:firstLine="708"/>
        <w:jc w:val="both"/>
        <w:rPr>
          <w:rFonts w:ascii="Calibri" w:hAnsi="Calibri"/>
        </w:rPr>
      </w:pPr>
      <w:r w:rsidRPr="00965E72">
        <w:rPr>
          <w:rFonts w:ascii="Calibri" w:hAnsi="Calibri"/>
        </w:rPr>
        <w:t>Em resumo, a trajetória da taxa de juros em 2025 dependerá de uma série de fat</w:t>
      </w:r>
      <w:r w:rsidR="0067576E">
        <w:rPr>
          <w:rFonts w:ascii="Calibri" w:hAnsi="Calibri"/>
        </w:rPr>
        <w:t>ores complexos e interligados.</w:t>
      </w:r>
      <w:r w:rsidRPr="00965E72">
        <w:rPr>
          <w:rFonts w:ascii="Calibri" w:hAnsi="Calibri"/>
        </w:rPr>
        <w:t xml:space="preserve"> É fundamental acompanhar de perto as decisões de política econômica, os indicadores de atividade econômica e os eventos globais para ter uma visão mais precisa do cenário para os juros.</w:t>
      </w:r>
    </w:p>
    <w:p w14:paraId="41F75032" w14:textId="04DAD1B8" w:rsidR="0067576E" w:rsidRPr="0067576E" w:rsidRDefault="0067576E" w:rsidP="0067576E">
      <w:pPr>
        <w:ind w:firstLine="708"/>
        <w:jc w:val="both"/>
        <w:rPr>
          <w:rFonts w:ascii="Calibri" w:hAnsi="Calibri"/>
        </w:rPr>
      </w:pPr>
      <w:r w:rsidRPr="0067576E">
        <w:rPr>
          <w:rFonts w:ascii="Calibri" w:hAnsi="Calibri"/>
        </w:rPr>
        <w:t>Em resumo, o cenário econômico brasileiro para 2025 apresenta um mix de desafios e oportunidades. A capacidade do país em superar os desafios e aproveitar as oportunidades dependerá da adoção de políticas públicas eficazes, da capacidade de adaptação das empresas e da confiança dos agentes econômicos.</w:t>
      </w:r>
    </w:p>
    <w:p w14:paraId="2260C801" w14:textId="73AC4EF7" w:rsidR="0067576E" w:rsidRDefault="0067576E" w:rsidP="0067576E">
      <w:pPr>
        <w:ind w:firstLine="708"/>
        <w:jc w:val="both"/>
        <w:rPr>
          <w:rFonts w:ascii="Calibri" w:hAnsi="Calibri"/>
        </w:rPr>
      </w:pPr>
      <w:r w:rsidRPr="0067576E">
        <w:rPr>
          <w:rFonts w:ascii="Calibri" w:hAnsi="Calibri"/>
        </w:rPr>
        <w:t>É importante ressaltar que este é um cenário preliminar e que diversas variáveis podem influenciar a evolução da economia brasileira em 2025.</w:t>
      </w:r>
    </w:p>
    <w:p w14:paraId="345E4F4B" w14:textId="271E07B6" w:rsidR="0067576E" w:rsidRDefault="0067576E" w:rsidP="0067576E">
      <w:pPr>
        <w:jc w:val="both"/>
        <w:rPr>
          <w:rFonts w:ascii="Calibri" w:hAnsi="Calibri"/>
        </w:rPr>
      </w:pPr>
    </w:p>
    <w:p w14:paraId="1D3F73F3" w14:textId="638FA7AA" w:rsidR="0067576E" w:rsidRDefault="0067576E" w:rsidP="0067576E">
      <w:pPr>
        <w:pStyle w:val="Ttulo2"/>
        <w:numPr>
          <w:ilvl w:val="1"/>
          <w:numId w:val="10"/>
        </w:numPr>
      </w:pPr>
      <w:bookmarkStart w:id="5" w:name="_Toc180593251"/>
      <w:r>
        <w:t>Projeções Econômicas</w:t>
      </w:r>
      <w:bookmarkEnd w:id="5"/>
    </w:p>
    <w:p w14:paraId="1920100F" w14:textId="30326077" w:rsidR="0067576E" w:rsidRDefault="0067576E" w:rsidP="0067576E"/>
    <w:p w14:paraId="17AB8EC6" w14:textId="50039884" w:rsidR="0067576E" w:rsidRDefault="0067576E" w:rsidP="0067576E">
      <w:pPr>
        <w:ind w:firstLine="708"/>
        <w:jc w:val="both"/>
        <w:rPr>
          <w:rFonts w:ascii="Calibri" w:hAnsi="Calibri"/>
        </w:rPr>
      </w:pPr>
      <w:r w:rsidRPr="0067576E">
        <w:rPr>
          <w:rFonts w:ascii="Calibri" w:hAnsi="Calibri"/>
        </w:rPr>
        <w:t>O Relatório Focus é uma publicação semanal do Banco Central do Brasil (BCB) que reúne as principais projeções para os principais</w:t>
      </w:r>
      <w:r>
        <w:rPr>
          <w:rFonts w:ascii="Calibri" w:hAnsi="Calibri"/>
        </w:rPr>
        <w:t xml:space="preserve"> indicadores econômicos do país.</w:t>
      </w:r>
    </w:p>
    <w:p w14:paraId="34FEE87B" w14:textId="44623B9B" w:rsidR="0067576E" w:rsidRDefault="0067576E" w:rsidP="0067576E">
      <w:pPr>
        <w:ind w:firstLine="708"/>
        <w:jc w:val="both"/>
        <w:rPr>
          <w:rFonts w:ascii="Calibri" w:hAnsi="Calibri"/>
        </w:rPr>
      </w:pPr>
      <w:r w:rsidRPr="0067576E">
        <w:rPr>
          <w:rFonts w:ascii="Calibri" w:hAnsi="Calibri"/>
        </w:rPr>
        <w:t>O BCB coleta as projeções de um grupo seleto de instituições financeiras, como bancos, corretoras e consultorias. Essas instituições enviam suas estimativas para os principais indicadores econômicos, e o BCB calcula as médias e mediana dessas projeções.</w:t>
      </w:r>
    </w:p>
    <w:p w14:paraId="07958792" w14:textId="543867F5" w:rsidR="0067576E" w:rsidRPr="0067576E" w:rsidRDefault="0067576E" w:rsidP="0067576E">
      <w:pPr>
        <w:ind w:firstLine="708"/>
        <w:jc w:val="both"/>
        <w:rPr>
          <w:rFonts w:ascii="Calibri" w:hAnsi="Calibri"/>
        </w:rPr>
      </w:pPr>
      <w:r>
        <w:rPr>
          <w:rFonts w:ascii="Calibri" w:hAnsi="Calibri"/>
        </w:rPr>
        <w:t xml:space="preserve">A </w:t>
      </w:r>
      <w:r w:rsidRPr="0067576E">
        <w:rPr>
          <w:rFonts w:ascii="Calibri" w:hAnsi="Calibri"/>
          <w:b/>
        </w:rPr>
        <w:t>PRÓPRIO Consultoria de Investimentos LTDA.</w:t>
      </w:r>
      <w:r>
        <w:rPr>
          <w:rFonts w:ascii="Calibri" w:hAnsi="Calibri"/>
        </w:rPr>
        <w:t xml:space="preserve"> utiliza as premissas indicadas no Relatório Focus para estabelecimento de suas diretrizes na alocação de recursos. </w:t>
      </w:r>
    </w:p>
    <w:p w14:paraId="14B5B683" w14:textId="77777777" w:rsidR="0067576E" w:rsidRDefault="0067576E" w:rsidP="0067576E"/>
    <w:p w14:paraId="4B0E2379" w14:textId="3ED3A6E3" w:rsidR="0067576E" w:rsidRPr="0067576E" w:rsidRDefault="0067576E" w:rsidP="0067576E">
      <w:r>
        <w:rPr>
          <w:noProof/>
          <w:lang w:eastAsia="pt-BR"/>
        </w:rPr>
        <w:drawing>
          <wp:inline distT="0" distB="0" distL="0" distR="0" wp14:anchorId="58B62868" wp14:editId="00F61D32">
            <wp:extent cx="5400040" cy="265049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400040" cy="2650490"/>
                    </a:xfrm>
                    <a:prstGeom prst="rect">
                      <a:avLst/>
                    </a:prstGeom>
                  </pic:spPr>
                </pic:pic>
              </a:graphicData>
            </a:graphic>
          </wp:inline>
        </w:drawing>
      </w:r>
    </w:p>
    <w:p w14:paraId="461A923B" w14:textId="77777777" w:rsidR="0067576E" w:rsidRDefault="0067576E" w:rsidP="0067576E">
      <w:pPr>
        <w:jc w:val="both"/>
        <w:rPr>
          <w:rFonts w:ascii="Calibri" w:hAnsi="Calibri"/>
        </w:rPr>
      </w:pPr>
    </w:p>
    <w:p w14:paraId="1CFB5413" w14:textId="77777777" w:rsidR="00894084" w:rsidRPr="00877B59" w:rsidRDefault="00894084" w:rsidP="00D35C71">
      <w:pPr>
        <w:jc w:val="both"/>
        <w:rPr>
          <w:rFonts w:ascii="Calibri" w:hAnsi="Calibri" w:cs="Calibri"/>
        </w:rPr>
      </w:pPr>
    </w:p>
    <w:p w14:paraId="480BC6A8" w14:textId="77777777" w:rsidR="00730083" w:rsidRDefault="00515F56" w:rsidP="001837C5">
      <w:pPr>
        <w:pStyle w:val="Ttulo1"/>
        <w:numPr>
          <w:ilvl w:val="0"/>
          <w:numId w:val="10"/>
        </w:numPr>
      </w:pPr>
      <w:bookmarkStart w:id="6" w:name="_Toc180593252"/>
      <w:r>
        <w:t>ALOCAÇÃO ESTRATÉGICA DOS RECURSOS</w:t>
      </w:r>
      <w:bookmarkEnd w:id="6"/>
    </w:p>
    <w:p w14:paraId="06D108E1" w14:textId="77777777" w:rsidR="00515F56" w:rsidRDefault="00515F56" w:rsidP="00515F56">
      <w:pPr>
        <w:jc w:val="both"/>
        <w:rPr>
          <w:rFonts w:ascii="Calibri" w:hAnsi="Calibri" w:cs="Calibri"/>
        </w:rPr>
      </w:pPr>
    </w:p>
    <w:p w14:paraId="057EE3C6" w14:textId="16796297" w:rsidR="00CD5BFE" w:rsidRDefault="00874855" w:rsidP="00874855">
      <w:pPr>
        <w:ind w:firstLine="708"/>
        <w:jc w:val="both"/>
        <w:rPr>
          <w:rFonts w:ascii="Calibri" w:hAnsi="Calibri" w:cs="Calibri"/>
        </w:rPr>
      </w:pPr>
      <w:r w:rsidRPr="00874855">
        <w:rPr>
          <w:rFonts w:ascii="Calibri" w:hAnsi="Calibri" w:cs="Calibri"/>
        </w:rPr>
        <w:t>Na aplicação dos recursos, os responsáveis pela gestão do RPPS devem observar os limites estabelecidos por esta Política de Investiment</w:t>
      </w:r>
      <w:r w:rsidR="0083651B">
        <w:rPr>
          <w:rFonts w:ascii="Calibri" w:hAnsi="Calibri" w:cs="Calibri"/>
        </w:rPr>
        <w:t>os e pela Resolução CMN nº 4.963/2021</w:t>
      </w:r>
      <w:r w:rsidRPr="00874855">
        <w:rPr>
          <w:rFonts w:ascii="Calibri" w:hAnsi="Calibri" w:cs="Calibri"/>
        </w:rPr>
        <w:t>. Limites estabelecidos mediante estudo do cenário macroeconômico atual e de perspectivas futuras, com as hipóteses razoáveis de realização no curto e médio prazo, conforme descrito abaixo:</w:t>
      </w:r>
    </w:p>
    <w:p w14:paraId="6FF4E217" w14:textId="416D1D31" w:rsidR="00874855" w:rsidRPr="00515F56" w:rsidRDefault="008B6F67" w:rsidP="00FC623B">
      <w:pPr>
        <w:jc w:val="center"/>
        <w:rPr>
          <w:rFonts w:ascii="Calibri" w:hAnsi="Calibri" w:cs="Calibri"/>
        </w:rPr>
      </w:pPr>
      <w:r>
        <w:rPr>
          <w:rFonts w:ascii="Calibri" w:hAnsi="Calibri" w:cs="Calibri"/>
          <w:noProof/>
          <w:lang w:eastAsia="pt-BR"/>
        </w:rPr>
        <w:drawing>
          <wp:inline distT="0" distB="0" distL="0" distR="0" wp14:anchorId="1205C0F0" wp14:editId="2BF18EF5">
            <wp:extent cx="5400040" cy="2372360"/>
            <wp:effectExtent l="0" t="0" r="0" b="889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imites+Res.+4.963.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00040" cy="2372360"/>
                    </a:xfrm>
                    <a:prstGeom prst="rect">
                      <a:avLst/>
                    </a:prstGeom>
                  </pic:spPr>
                </pic:pic>
              </a:graphicData>
            </a:graphic>
          </wp:inline>
        </w:drawing>
      </w:r>
    </w:p>
    <w:p w14:paraId="3C17A1EF" w14:textId="77777777" w:rsidR="001B77BE" w:rsidRDefault="001B77BE" w:rsidP="00981727">
      <w:pPr>
        <w:jc w:val="both"/>
        <w:rPr>
          <w:rFonts w:ascii="Calibri" w:hAnsi="Calibri" w:cs="Calibri"/>
        </w:rPr>
      </w:pPr>
    </w:p>
    <w:p w14:paraId="5480B977" w14:textId="00B927EB" w:rsidR="001C42A9" w:rsidRDefault="003733C6" w:rsidP="00BA3D57">
      <w:pPr>
        <w:pStyle w:val="Ttulo2"/>
        <w:numPr>
          <w:ilvl w:val="1"/>
          <w:numId w:val="10"/>
        </w:numPr>
      </w:pPr>
      <w:bookmarkStart w:id="7" w:name="_Toc180593253"/>
      <w:r>
        <w:t>Distribuição Projetada para 202</w:t>
      </w:r>
      <w:r w:rsidR="00BA3D57">
        <w:t>5</w:t>
      </w:r>
      <w:bookmarkEnd w:id="7"/>
    </w:p>
    <w:p w14:paraId="6957FC0B" w14:textId="77777777" w:rsidR="003733C6" w:rsidRDefault="003733C6" w:rsidP="003733C6">
      <w:pPr>
        <w:jc w:val="both"/>
        <w:rPr>
          <w:rFonts w:ascii="Calibri" w:hAnsi="Calibri" w:cs="Calibri"/>
          <w:b/>
          <w:u w:val="single"/>
        </w:rPr>
      </w:pPr>
    </w:p>
    <w:p w14:paraId="6F6D2ED3" w14:textId="77777777" w:rsidR="0028021A" w:rsidRPr="0028021A" w:rsidRDefault="0028021A" w:rsidP="0028021A">
      <w:pPr>
        <w:ind w:firstLine="708"/>
        <w:jc w:val="both"/>
        <w:rPr>
          <w:rFonts w:ascii="Calibri" w:hAnsi="Calibri" w:cs="Calibri"/>
        </w:rPr>
      </w:pPr>
      <w:r w:rsidRPr="0028021A">
        <w:rPr>
          <w:rFonts w:ascii="Calibri" w:hAnsi="Calibri" w:cs="Calibri"/>
        </w:rPr>
        <w:t>Para fins de avaliação tanto dos fundos de investimentos quanto da composição geral da carteira de inves</w:t>
      </w:r>
      <w:r>
        <w:rPr>
          <w:rFonts w:ascii="Calibri" w:hAnsi="Calibri" w:cs="Calibri"/>
        </w:rPr>
        <w:t>timentos usamos o modelo de fronteira eficiente.</w:t>
      </w:r>
    </w:p>
    <w:p w14:paraId="4AAA4605" w14:textId="77777777" w:rsidR="0028021A" w:rsidRPr="0028021A" w:rsidRDefault="0028021A" w:rsidP="0028021A">
      <w:pPr>
        <w:jc w:val="both"/>
        <w:rPr>
          <w:rFonts w:ascii="Calibri" w:hAnsi="Calibri" w:cs="Calibri"/>
        </w:rPr>
      </w:pPr>
      <w:r w:rsidRPr="0028021A">
        <w:rPr>
          <w:rFonts w:ascii="Calibri" w:hAnsi="Calibri" w:cs="Calibri"/>
        </w:rPr>
        <w:tab/>
        <w:t>Para todo tipo de avaliação é utilizado o conceito binomial de risco/retorno desenvolvido por Harry Markowitz, que rege o fundamento da decisão de investimento que envolve vários ativos deve levar em conta não somente as relações entre rentabilidade e risco de cada ativo tomado individualmente, mas também que os retornos de ativos diferentes não são 100% correlacionados e, portanto, sua combinação em portfólios permite ao investidor auferir os benefícios da diversificação.</w:t>
      </w:r>
    </w:p>
    <w:p w14:paraId="014D00EB" w14:textId="55589563" w:rsidR="0028021A" w:rsidRDefault="0028021A" w:rsidP="0028021A">
      <w:pPr>
        <w:jc w:val="both"/>
        <w:rPr>
          <w:rFonts w:ascii="Calibri" w:hAnsi="Calibri" w:cs="Calibri"/>
        </w:rPr>
      </w:pPr>
      <w:r w:rsidRPr="0028021A">
        <w:rPr>
          <w:rFonts w:ascii="Calibri" w:hAnsi="Calibri" w:cs="Calibri"/>
        </w:rPr>
        <w:tab/>
        <w:t>Na linha metodológica apresentada por Jean François Boulier e Dénis Dupré que trata sobre Gestão Financeira dos Fundos de Pensão, constata-se que a modelagem do comportamento de um investidor típico fundamenta-se nas seguintes hipóteses:</w:t>
      </w:r>
    </w:p>
    <w:p w14:paraId="4267C903" w14:textId="77777777" w:rsidR="009E6B58" w:rsidRDefault="009E6B58" w:rsidP="0028021A">
      <w:pPr>
        <w:jc w:val="both"/>
        <w:rPr>
          <w:rFonts w:ascii="Calibri" w:hAnsi="Calibri" w:cs="Calibri"/>
        </w:rPr>
      </w:pPr>
    </w:p>
    <w:p w14:paraId="1185C16D" w14:textId="0D85A18D" w:rsidR="008B6F67" w:rsidRDefault="008B6F67" w:rsidP="0028021A">
      <w:pPr>
        <w:jc w:val="both"/>
        <w:rPr>
          <w:rFonts w:ascii="Calibri" w:hAnsi="Calibri" w:cs="Calibri"/>
        </w:rPr>
      </w:pPr>
    </w:p>
    <w:p w14:paraId="5A9366E7" w14:textId="77777777" w:rsidR="008B6F67" w:rsidRPr="0028021A" w:rsidRDefault="008B6F67" w:rsidP="0028021A">
      <w:pPr>
        <w:jc w:val="both"/>
        <w:rPr>
          <w:rFonts w:ascii="Calibri" w:hAnsi="Calibri" w:cs="Calibri"/>
        </w:rPr>
      </w:pPr>
    </w:p>
    <w:p w14:paraId="738D5D9E" w14:textId="77777777" w:rsidR="0028021A" w:rsidRPr="0028021A" w:rsidRDefault="0028021A" w:rsidP="0028021A">
      <w:pPr>
        <w:pStyle w:val="PargrafodaLista"/>
        <w:numPr>
          <w:ilvl w:val="0"/>
          <w:numId w:val="8"/>
        </w:numPr>
        <w:jc w:val="both"/>
        <w:rPr>
          <w:rFonts w:ascii="Calibri" w:hAnsi="Calibri" w:cs="Calibri"/>
        </w:rPr>
      </w:pPr>
      <w:r w:rsidRPr="0028021A">
        <w:rPr>
          <w:rFonts w:ascii="Calibri" w:hAnsi="Calibri" w:cs="Calibri"/>
        </w:rPr>
        <w:t>A rentabilidade futura de qualquer ativo financeiro é uma variável aleatória cuja distribuição obedece a uma curva normal;</w:t>
      </w:r>
    </w:p>
    <w:p w14:paraId="114D7B22" w14:textId="77777777" w:rsidR="0028021A" w:rsidRPr="0028021A" w:rsidRDefault="0028021A" w:rsidP="0028021A">
      <w:pPr>
        <w:pStyle w:val="PargrafodaLista"/>
        <w:numPr>
          <w:ilvl w:val="0"/>
          <w:numId w:val="8"/>
        </w:numPr>
        <w:jc w:val="both"/>
        <w:rPr>
          <w:rFonts w:ascii="Calibri" w:hAnsi="Calibri" w:cs="Calibri"/>
        </w:rPr>
      </w:pPr>
      <w:r w:rsidRPr="0028021A">
        <w:rPr>
          <w:rFonts w:ascii="Calibri" w:hAnsi="Calibri" w:cs="Calibri"/>
        </w:rPr>
        <w:t>Os rendimentos dos diferentes ativos estão correlacionados. Essas dependências são definidas pelas covariâncias entre os retornos desses ativos;</w:t>
      </w:r>
    </w:p>
    <w:p w14:paraId="647994E7" w14:textId="77777777" w:rsidR="0028021A" w:rsidRPr="0028021A" w:rsidRDefault="0028021A" w:rsidP="0028021A">
      <w:pPr>
        <w:pStyle w:val="PargrafodaLista"/>
        <w:numPr>
          <w:ilvl w:val="0"/>
          <w:numId w:val="8"/>
        </w:numPr>
        <w:jc w:val="both"/>
        <w:rPr>
          <w:rFonts w:ascii="Calibri" w:hAnsi="Calibri" w:cs="Calibri"/>
        </w:rPr>
      </w:pPr>
      <w:r w:rsidRPr="0028021A">
        <w:rPr>
          <w:rFonts w:ascii="Calibri" w:hAnsi="Calibri" w:cs="Calibri"/>
        </w:rPr>
        <w:t>Os investidores apresentam certa aversão ao risco que se traduz por uma função de utilidade côncava. A questão da concavidade é a hipótese de que aumentos sucessivos no nível de risco assumido correspondem a aumentos crescentes no retorno demandado;</w:t>
      </w:r>
    </w:p>
    <w:p w14:paraId="27523BAF" w14:textId="77777777" w:rsidR="0028021A" w:rsidRPr="0028021A" w:rsidRDefault="0028021A" w:rsidP="0028021A">
      <w:pPr>
        <w:pStyle w:val="PargrafodaLista"/>
        <w:numPr>
          <w:ilvl w:val="0"/>
          <w:numId w:val="8"/>
        </w:numPr>
        <w:jc w:val="both"/>
        <w:rPr>
          <w:rFonts w:ascii="Calibri" w:hAnsi="Calibri" w:cs="Calibri"/>
        </w:rPr>
      </w:pPr>
      <w:r w:rsidRPr="0028021A">
        <w:rPr>
          <w:rFonts w:ascii="Calibri" w:hAnsi="Calibri" w:cs="Calibri"/>
        </w:rPr>
        <w:t>Os investidores são racionais e seu horizonte de investimento é limitado a um só período.</w:t>
      </w:r>
    </w:p>
    <w:p w14:paraId="18C87348" w14:textId="77777777" w:rsidR="0028021A" w:rsidRPr="0028021A" w:rsidRDefault="0028021A" w:rsidP="0028021A">
      <w:pPr>
        <w:jc w:val="both"/>
        <w:rPr>
          <w:rFonts w:ascii="Calibri" w:hAnsi="Calibri" w:cs="Calibri"/>
        </w:rPr>
      </w:pPr>
    </w:p>
    <w:p w14:paraId="369BA74E" w14:textId="247A7D99" w:rsidR="00DE07AD" w:rsidRDefault="0028021A" w:rsidP="008B6F67">
      <w:pPr>
        <w:ind w:firstLine="708"/>
        <w:jc w:val="both"/>
        <w:rPr>
          <w:rFonts w:ascii="Calibri" w:hAnsi="Calibri" w:cs="Calibri"/>
        </w:rPr>
      </w:pPr>
      <w:r w:rsidRPr="0028021A">
        <w:rPr>
          <w:rFonts w:ascii="Calibri" w:hAnsi="Calibri" w:cs="Calibri"/>
        </w:rPr>
        <w:t>O conceito de Markowitz utiliza o conceito de “fronteira eficiente” que permite definir a melhor alocação entre os ativos disponíveis.</w:t>
      </w:r>
    </w:p>
    <w:p w14:paraId="24637B47" w14:textId="77777777" w:rsidR="00CD5BFE" w:rsidRPr="00081C2F" w:rsidRDefault="00CD5BFE" w:rsidP="00CD5BFE">
      <w:pPr>
        <w:ind w:firstLine="708"/>
        <w:jc w:val="both"/>
        <w:rPr>
          <w:rFonts w:ascii="Calibri" w:hAnsi="Calibri" w:cs="Calibri"/>
        </w:rPr>
      </w:pPr>
      <w:r w:rsidRPr="00081C2F">
        <w:rPr>
          <w:rFonts w:ascii="Calibri" w:hAnsi="Calibri" w:cs="Calibri"/>
        </w:rPr>
        <w:t>A tática de asset allocation preconiza uma repartição do dinheiro a ser investido em diferentes tipos de investimento, como ações, títulos de renda fixa, moedas estrangeiras, real state (imóveis) entre outros.</w:t>
      </w:r>
    </w:p>
    <w:p w14:paraId="177D17F4" w14:textId="77777777" w:rsidR="00CD5BFE" w:rsidRPr="00081C2F" w:rsidRDefault="00CD5BFE" w:rsidP="00CD5BFE">
      <w:pPr>
        <w:ind w:firstLine="708"/>
        <w:jc w:val="both"/>
        <w:rPr>
          <w:rFonts w:ascii="Calibri" w:hAnsi="Calibri" w:cs="Calibri"/>
        </w:rPr>
      </w:pPr>
      <w:r w:rsidRPr="00081C2F">
        <w:rPr>
          <w:rFonts w:ascii="Calibri" w:hAnsi="Calibri" w:cs="Calibri"/>
        </w:rPr>
        <w:t>O objetivo é usar essa diversificação para equilibrar o risco que o investidor está disposto a correr e o retorno que ele espera conseguir. Mas não existe uma fórmula simples para se chegar a alocação de recursos ideal para cada perfil de investidor.</w:t>
      </w:r>
    </w:p>
    <w:p w14:paraId="69BD32CC" w14:textId="64B4CFA7" w:rsidR="00EA3AD8" w:rsidRDefault="00151BA7" w:rsidP="00151BA7">
      <w:pPr>
        <w:ind w:firstLine="708"/>
        <w:jc w:val="both"/>
        <w:rPr>
          <w:rFonts w:ascii="Calibri" w:hAnsi="Calibri" w:cs="Calibri"/>
        </w:rPr>
      </w:pPr>
      <w:r w:rsidRPr="00151BA7">
        <w:rPr>
          <w:rFonts w:ascii="Calibri" w:hAnsi="Calibri" w:cs="Calibri"/>
        </w:rPr>
        <w:t xml:space="preserve">A gestão de investimentos do </w:t>
      </w:r>
      <w:r w:rsidR="00020A88" w:rsidRPr="00020A88">
        <w:rPr>
          <w:rFonts w:ascii="Calibri" w:hAnsi="Calibri" w:cs="Calibri"/>
          <w:b/>
        </w:rPr>
        <w:t>Fundo de Previdência Social do Município de Pires do Rio/GO</w:t>
      </w:r>
      <w:r w:rsidRPr="00151BA7">
        <w:rPr>
          <w:rFonts w:ascii="Calibri" w:hAnsi="Calibri" w:cs="Calibri"/>
        </w:rPr>
        <w:t xml:space="preserve"> está </w:t>
      </w:r>
      <w:proofErr w:type="gramStart"/>
      <w:r w:rsidRPr="00151BA7">
        <w:rPr>
          <w:rFonts w:ascii="Calibri" w:hAnsi="Calibri" w:cs="Calibri"/>
        </w:rPr>
        <w:t>estruturado</w:t>
      </w:r>
      <w:proofErr w:type="gramEnd"/>
      <w:r w:rsidRPr="00151BA7">
        <w:rPr>
          <w:rFonts w:ascii="Calibri" w:hAnsi="Calibri" w:cs="Calibri"/>
        </w:rPr>
        <w:t xml:space="preserve"> em três pilares interdependentes. O primeiro deles é representado pela abordagem teórica e quantitativa aplicada à gestão de longo prazo, que tem por objetivo orientar a alocação estratégica de investimentos, entendida como a exposição nas diferentes classes de ativos passíveis de alocação, tendo em vista a existência de um passivo de natureza previdenciária.</w:t>
      </w:r>
    </w:p>
    <w:p w14:paraId="1A52BB1E" w14:textId="17891BF9" w:rsidR="00151BA7" w:rsidRDefault="00151BA7" w:rsidP="00151BA7">
      <w:pPr>
        <w:ind w:firstLine="708"/>
        <w:jc w:val="both"/>
        <w:rPr>
          <w:rFonts w:ascii="Calibri" w:hAnsi="Calibri" w:cs="Calibri"/>
        </w:rPr>
      </w:pPr>
      <w:r w:rsidRPr="00151BA7">
        <w:rPr>
          <w:rFonts w:ascii="Calibri" w:hAnsi="Calibri" w:cs="Calibri"/>
        </w:rPr>
        <w:t>O segundo pilar é constituído pelo permanente acompanhamento macroeconômico e de mercado, cujo propósito é orientar a alocação tática do portfólio, compreendido como os desvios em relação à alocação estratégica de investimentos. Finalmente, a</w:t>
      </w:r>
      <w:r w:rsidR="006542F7">
        <w:rPr>
          <w:rFonts w:ascii="Calibri" w:hAnsi="Calibri" w:cs="Calibri"/>
        </w:rPr>
        <w:t xml:space="preserve"> gestão de riscos </w:t>
      </w:r>
      <w:r w:rsidRPr="00151BA7">
        <w:rPr>
          <w:rFonts w:ascii="Calibri" w:hAnsi="Calibri" w:cs="Calibri"/>
        </w:rPr>
        <w:t>integra o processo de gestão de investimentos, de modo a possibilitar a contínua verificação da aderência da gestão à expectativa de retorno esperado e à exposição a riscos admitidos.</w:t>
      </w:r>
    </w:p>
    <w:p w14:paraId="72E11CCD" w14:textId="161ABBD5" w:rsidR="00D034B0" w:rsidRDefault="00D034B0" w:rsidP="00D034B0">
      <w:pPr>
        <w:ind w:firstLine="708"/>
        <w:jc w:val="both"/>
        <w:rPr>
          <w:rFonts w:ascii="Calibri" w:hAnsi="Calibri" w:cs="Calibri"/>
        </w:rPr>
      </w:pPr>
      <w:r w:rsidRPr="00D034B0">
        <w:rPr>
          <w:rFonts w:ascii="Calibri" w:hAnsi="Calibri" w:cs="Calibri"/>
        </w:rPr>
        <w:t xml:space="preserve">O </w:t>
      </w:r>
      <w:r w:rsidR="00020A88" w:rsidRPr="00020A88">
        <w:rPr>
          <w:rFonts w:ascii="Calibri" w:hAnsi="Calibri" w:cs="Calibri"/>
          <w:b/>
        </w:rPr>
        <w:t>Fundo de Previdência Social do Município de Pires do Rio/GO</w:t>
      </w:r>
      <w:r w:rsidRPr="00D034B0">
        <w:rPr>
          <w:rFonts w:ascii="Calibri" w:hAnsi="Calibri" w:cs="Calibri"/>
        </w:rPr>
        <w:t xml:space="preserve"> considera os limites apresentados o resultado da análise feita através das reservas técnicas atuariais (ativos) e as reservas matemáticas (passivo) projetadas pelo cálculo atuarial o que pode exigir maior flexibilidade nos níveis de liquidez da carteira.</w:t>
      </w:r>
    </w:p>
    <w:p w14:paraId="411AD970" w14:textId="265E56BD" w:rsidR="00D034B0" w:rsidRDefault="00D034B0" w:rsidP="00D034B0">
      <w:pPr>
        <w:ind w:firstLine="708"/>
        <w:jc w:val="both"/>
        <w:rPr>
          <w:rFonts w:ascii="Calibri" w:hAnsi="Calibri" w:cs="Calibri"/>
        </w:rPr>
      </w:pPr>
      <w:r w:rsidRPr="00D034B0">
        <w:rPr>
          <w:rFonts w:ascii="Calibri" w:hAnsi="Calibri" w:cs="Calibri"/>
        </w:rPr>
        <w:t>Serão observados também, a compatibilidades dos ativos investidos com os prazo e taxas das obrigações presentes e futuras do regime.</w:t>
      </w:r>
    </w:p>
    <w:p w14:paraId="0C3266C2" w14:textId="77777777" w:rsidR="00205EEF" w:rsidRDefault="00205EEF" w:rsidP="00D034B0">
      <w:pPr>
        <w:ind w:firstLine="708"/>
        <w:jc w:val="both"/>
        <w:rPr>
          <w:rFonts w:ascii="Calibri" w:hAnsi="Calibri" w:cs="Calibri"/>
        </w:rPr>
      </w:pPr>
    </w:p>
    <w:p w14:paraId="5DA95F20" w14:textId="469EC2DB" w:rsidR="008B6F67" w:rsidRDefault="008B6F67" w:rsidP="00261FE4">
      <w:pPr>
        <w:jc w:val="both"/>
        <w:rPr>
          <w:rFonts w:ascii="Calibri" w:hAnsi="Calibri" w:cs="Calibri"/>
        </w:rPr>
      </w:pPr>
    </w:p>
    <w:p w14:paraId="53A617C3" w14:textId="7F3F562D" w:rsidR="00261FE4" w:rsidRPr="00261FE4" w:rsidRDefault="00261FE4" w:rsidP="00261FE4">
      <w:pPr>
        <w:pStyle w:val="PargrafodaLista"/>
        <w:numPr>
          <w:ilvl w:val="0"/>
          <w:numId w:val="8"/>
        </w:numPr>
        <w:jc w:val="both"/>
        <w:rPr>
          <w:rFonts w:ascii="Calibri" w:hAnsi="Calibri" w:cs="Calibri"/>
          <w:b/>
          <w:u w:val="single"/>
        </w:rPr>
      </w:pPr>
      <w:r w:rsidRPr="00261FE4">
        <w:rPr>
          <w:rFonts w:ascii="Calibri" w:hAnsi="Calibri" w:cs="Calibri"/>
          <w:b/>
          <w:u w:val="single"/>
        </w:rPr>
        <w:t>Avaliação de Risco x Retorno Segmentos (12 meses):</w:t>
      </w:r>
    </w:p>
    <w:p w14:paraId="6F7E8E28" w14:textId="77777777" w:rsidR="00261FE4" w:rsidRDefault="00261FE4" w:rsidP="00261FE4">
      <w:pPr>
        <w:jc w:val="both"/>
        <w:rPr>
          <w:rFonts w:ascii="Calibri" w:hAnsi="Calibri" w:cs="Calibri"/>
        </w:rPr>
      </w:pPr>
    </w:p>
    <w:p w14:paraId="3E1465FE" w14:textId="599E2DBB" w:rsidR="00D034B0" w:rsidRDefault="00261FE4" w:rsidP="00D034B0">
      <w:pPr>
        <w:jc w:val="both"/>
        <w:rPr>
          <w:rFonts w:ascii="Calibri" w:hAnsi="Calibri" w:cs="Calibri"/>
        </w:rPr>
      </w:pPr>
      <w:r>
        <w:rPr>
          <w:noProof/>
          <w:lang w:eastAsia="pt-BR"/>
        </w:rPr>
        <w:drawing>
          <wp:inline distT="0" distB="0" distL="0" distR="0" wp14:anchorId="5FB386C0" wp14:editId="540BD316">
            <wp:extent cx="5400040" cy="2469515"/>
            <wp:effectExtent l="0" t="0" r="0" b="6985"/>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400040" cy="2469515"/>
                    </a:xfrm>
                    <a:prstGeom prst="rect">
                      <a:avLst/>
                    </a:prstGeom>
                  </pic:spPr>
                </pic:pic>
              </a:graphicData>
            </a:graphic>
          </wp:inline>
        </w:drawing>
      </w:r>
    </w:p>
    <w:p w14:paraId="244D5300" w14:textId="77777777" w:rsidR="00261FE4" w:rsidRDefault="00261FE4" w:rsidP="00D034B0">
      <w:pPr>
        <w:jc w:val="both"/>
        <w:rPr>
          <w:rFonts w:ascii="Calibri" w:hAnsi="Calibri" w:cs="Calibri"/>
        </w:rPr>
      </w:pPr>
    </w:p>
    <w:p w14:paraId="4465786C" w14:textId="7DE3813B" w:rsidR="00261FE4" w:rsidRDefault="00261FE4" w:rsidP="00D034B0">
      <w:pPr>
        <w:jc w:val="both"/>
        <w:rPr>
          <w:rFonts w:ascii="Calibri" w:hAnsi="Calibri" w:cs="Calibri"/>
        </w:rPr>
      </w:pPr>
      <w:r>
        <w:rPr>
          <w:noProof/>
          <w:lang w:eastAsia="pt-BR"/>
        </w:rPr>
        <w:drawing>
          <wp:inline distT="0" distB="0" distL="0" distR="0" wp14:anchorId="4418F361" wp14:editId="1EA791A9">
            <wp:extent cx="5400040" cy="2324100"/>
            <wp:effectExtent l="0" t="0" r="0"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400040" cy="2324100"/>
                    </a:xfrm>
                    <a:prstGeom prst="rect">
                      <a:avLst/>
                    </a:prstGeom>
                  </pic:spPr>
                </pic:pic>
              </a:graphicData>
            </a:graphic>
          </wp:inline>
        </w:drawing>
      </w:r>
    </w:p>
    <w:p w14:paraId="1BE1A0DB" w14:textId="152030D8" w:rsidR="00261FE4" w:rsidRDefault="00261FE4" w:rsidP="00D034B0">
      <w:pPr>
        <w:jc w:val="both"/>
        <w:rPr>
          <w:rFonts w:ascii="Calibri" w:hAnsi="Calibri" w:cs="Calibri"/>
        </w:rPr>
      </w:pPr>
    </w:p>
    <w:p w14:paraId="0EFE9B16" w14:textId="040BDE2E" w:rsidR="00261FE4" w:rsidRDefault="00261FE4" w:rsidP="00D034B0">
      <w:pPr>
        <w:jc w:val="both"/>
        <w:rPr>
          <w:rFonts w:ascii="Calibri" w:hAnsi="Calibri" w:cs="Calibri"/>
        </w:rPr>
      </w:pPr>
    </w:p>
    <w:p w14:paraId="565734AB" w14:textId="67B09652" w:rsidR="00261FE4" w:rsidRDefault="00261FE4" w:rsidP="00D034B0">
      <w:pPr>
        <w:jc w:val="both"/>
        <w:rPr>
          <w:rFonts w:ascii="Calibri" w:hAnsi="Calibri" w:cs="Calibri"/>
        </w:rPr>
      </w:pPr>
    </w:p>
    <w:p w14:paraId="7C83C750" w14:textId="08C44003" w:rsidR="00261FE4" w:rsidRDefault="00261FE4" w:rsidP="00D034B0">
      <w:pPr>
        <w:jc w:val="both"/>
        <w:rPr>
          <w:rFonts w:ascii="Calibri" w:hAnsi="Calibri" w:cs="Calibri"/>
        </w:rPr>
      </w:pPr>
    </w:p>
    <w:p w14:paraId="6BD87327" w14:textId="074982E0" w:rsidR="00261FE4" w:rsidRDefault="00261FE4" w:rsidP="00D034B0">
      <w:pPr>
        <w:jc w:val="both"/>
        <w:rPr>
          <w:rFonts w:ascii="Calibri" w:hAnsi="Calibri" w:cs="Calibri"/>
        </w:rPr>
      </w:pPr>
    </w:p>
    <w:p w14:paraId="2A2E73C3" w14:textId="78D67D8B" w:rsidR="00261FE4" w:rsidRDefault="00261FE4" w:rsidP="00D034B0">
      <w:pPr>
        <w:jc w:val="both"/>
        <w:rPr>
          <w:rFonts w:ascii="Calibri" w:hAnsi="Calibri" w:cs="Calibri"/>
        </w:rPr>
      </w:pPr>
    </w:p>
    <w:p w14:paraId="579B24F9" w14:textId="77781528" w:rsidR="00261FE4" w:rsidRDefault="00261FE4" w:rsidP="00D034B0">
      <w:pPr>
        <w:jc w:val="both"/>
        <w:rPr>
          <w:rFonts w:ascii="Calibri" w:hAnsi="Calibri" w:cs="Calibri"/>
        </w:rPr>
      </w:pPr>
    </w:p>
    <w:p w14:paraId="54D099AA" w14:textId="661193BA" w:rsidR="00261FE4" w:rsidRDefault="00261FE4" w:rsidP="00D034B0">
      <w:pPr>
        <w:jc w:val="both"/>
        <w:rPr>
          <w:rFonts w:ascii="Calibri" w:hAnsi="Calibri" w:cs="Calibri"/>
        </w:rPr>
      </w:pPr>
    </w:p>
    <w:p w14:paraId="1805D572" w14:textId="24296BED" w:rsidR="00261FE4" w:rsidRDefault="00261FE4" w:rsidP="00261FE4">
      <w:pPr>
        <w:pStyle w:val="PargrafodaLista"/>
        <w:numPr>
          <w:ilvl w:val="0"/>
          <w:numId w:val="8"/>
        </w:numPr>
        <w:jc w:val="both"/>
        <w:rPr>
          <w:rFonts w:ascii="Calibri" w:hAnsi="Calibri" w:cs="Calibri"/>
          <w:b/>
          <w:u w:val="single"/>
        </w:rPr>
      </w:pPr>
      <w:r>
        <w:rPr>
          <w:rFonts w:ascii="Calibri" w:hAnsi="Calibri" w:cs="Calibri"/>
          <w:b/>
          <w:u w:val="single"/>
        </w:rPr>
        <w:t xml:space="preserve">Simulação </w:t>
      </w:r>
      <w:r w:rsidR="0025677F">
        <w:rPr>
          <w:rFonts w:ascii="Calibri" w:hAnsi="Calibri" w:cs="Calibri"/>
          <w:b/>
          <w:u w:val="single"/>
        </w:rPr>
        <w:t>de Carteira</w:t>
      </w:r>
      <w:r>
        <w:rPr>
          <w:rFonts w:ascii="Calibri" w:hAnsi="Calibri" w:cs="Calibri"/>
          <w:b/>
          <w:u w:val="single"/>
        </w:rPr>
        <w:t xml:space="preserve"> (Exercício 2025)</w:t>
      </w:r>
      <w:r w:rsidRPr="00261FE4">
        <w:rPr>
          <w:rFonts w:ascii="Calibri" w:hAnsi="Calibri" w:cs="Calibri"/>
          <w:b/>
          <w:u w:val="single"/>
        </w:rPr>
        <w:t>:</w:t>
      </w:r>
    </w:p>
    <w:p w14:paraId="5632A1A1" w14:textId="18499C28" w:rsidR="00261FE4" w:rsidRDefault="00261FE4" w:rsidP="00261FE4">
      <w:pPr>
        <w:jc w:val="both"/>
        <w:rPr>
          <w:rFonts w:ascii="Calibri" w:hAnsi="Calibri" w:cs="Calibri"/>
          <w:b/>
          <w:u w:val="single"/>
        </w:rPr>
      </w:pPr>
    </w:p>
    <w:p w14:paraId="5AF86679" w14:textId="76FC9EE5" w:rsidR="00261FE4" w:rsidRDefault="00DB075A" w:rsidP="00261FE4">
      <w:pPr>
        <w:jc w:val="both"/>
        <w:rPr>
          <w:rFonts w:ascii="Calibri" w:hAnsi="Calibri" w:cs="Calibri"/>
          <w:b/>
          <w:u w:val="single"/>
        </w:rPr>
      </w:pPr>
      <w:r>
        <w:rPr>
          <w:noProof/>
          <w:lang w:eastAsia="pt-BR"/>
        </w:rPr>
        <w:drawing>
          <wp:inline distT="0" distB="0" distL="0" distR="0" wp14:anchorId="36985F61" wp14:editId="20AFE2DC">
            <wp:extent cx="5400040" cy="2437765"/>
            <wp:effectExtent l="0" t="0" r="0" b="635"/>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400040" cy="2437765"/>
                    </a:xfrm>
                    <a:prstGeom prst="rect">
                      <a:avLst/>
                    </a:prstGeom>
                  </pic:spPr>
                </pic:pic>
              </a:graphicData>
            </a:graphic>
          </wp:inline>
        </w:drawing>
      </w:r>
    </w:p>
    <w:p w14:paraId="5468A9C2" w14:textId="12335ED6" w:rsidR="00DB075A" w:rsidRDefault="00DB075A" w:rsidP="00261FE4">
      <w:pPr>
        <w:jc w:val="both"/>
        <w:rPr>
          <w:rFonts w:ascii="Calibri" w:hAnsi="Calibri" w:cs="Calibri"/>
          <w:b/>
          <w:u w:val="single"/>
        </w:rPr>
      </w:pPr>
    </w:p>
    <w:p w14:paraId="57C9E227" w14:textId="4E8435F1" w:rsidR="00DB075A" w:rsidRDefault="00DB075A" w:rsidP="00261FE4">
      <w:pPr>
        <w:jc w:val="both"/>
        <w:rPr>
          <w:rFonts w:ascii="Calibri" w:hAnsi="Calibri" w:cs="Calibri"/>
          <w:b/>
          <w:u w:val="single"/>
        </w:rPr>
      </w:pPr>
      <w:r>
        <w:rPr>
          <w:noProof/>
          <w:lang w:eastAsia="pt-BR"/>
        </w:rPr>
        <w:drawing>
          <wp:inline distT="0" distB="0" distL="0" distR="0" wp14:anchorId="7842AFE2" wp14:editId="16338827">
            <wp:extent cx="5400040" cy="2355850"/>
            <wp:effectExtent l="0" t="0" r="0" b="6350"/>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400040" cy="2355850"/>
                    </a:xfrm>
                    <a:prstGeom prst="rect">
                      <a:avLst/>
                    </a:prstGeom>
                  </pic:spPr>
                </pic:pic>
              </a:graphicData>
            </a:graphic>
          </wp:inline>
        </w:drawing>
      </w:r>
    </w:p>
    <w:p w14:paraId="4116316C" w14:textId="3905DCEC" w:rsidR="00DB075A" w:rsidRDefault="00DB075A" w:rsidP="00261FE4">
      <w:pPr>
        <w:jc w:val="both"/>
        <w:rPr>
          <w:rFonts w:ascii="Calibri" w:hAnsi="Calibri" w:cs="Calibri"/>
          <w:b/>
          <w:u w:val="single"/>
        </w:rPr>
      </w:pPr>
    </w:p>
    <w:p w14:paraId="30F92DC4" w14:textId="32C3AC43" w:rsidR="00DB075A" w:rsidRDefault="00DB075A" w:rsidP="00261FE4">
      <w:pPr>
        <w:jc w:val="both"/>
        <w:rPr>
          <w:rFonts w:ascii="Calibri" w:hAnsi="Calibri" w:cs="Calibri"/>
          <w:b/>
          <w:u w:val="single"/>
        </w:rPr>
      </w:pPr>
    </w:p>
    <w:p w14:paraId="17B4432F" w14:textId="2FA4B9E2" w:rsidR="00DB075A" w:rsidRDefault="00DB075A" w:rsidP="00261FE4">
      <w:pPr>
        <w:jc w:val="both"/>
        <w:rPr>
          <w:rFonts w:ascii="Calibri" w:hAnsi="Calibri" w:cs="Calibri"/>
          <w:b/>
          <w:u w:val="single"/>
        </w:rPr>
      </w:pPr>
    </w:p>
    <w:p w14:paraId="5D7BE526" w14:textId="7C15D497" w:rsidR="00DB075A" w:rsidRDefault="00DB075A" w:rsidP="00261FE4">
      <w:pPr>
        <w:jc w:val="both"/>
        <w:rPr>
          <w:rFonts w:ascii="Calibri" w:hAnsi="Calibri" w:cs="Calibri"/>
          <w:b/>
          <w:u w:val="single"/>
        </w:rPr>
      </w:pPr>
    </w:p>
    <w:p w14:paraId="6C899FE3" w14:textId="76FCA7BC" w:rsidR="00DB075A" w:rsidRDefault="00DB075A" w:rsidP="00261FE4">
      <w:pPr>
        <w:jc w:val="both"/>
        <w:rPr>
          <w:rFonts w:ascii="Calibri" w:hAnsi="Calibri" w:cs="Calibri"/>
          <w:b/>
          <w:u w:val="single"/>
        </w:rPr>
      </w:pPr>
    </w:p>
    <w:p w14:paraId="55BBCCA2" w14:textId="7751323C" w:rsidR="00DB075A" w:rsidRDefault="00DB075A" w:rsidP="00261FE4">
      <w:pPr>
        <w:jc w:val="both"/>
        <w:rPr>
          <w:rFonts w:ascii="Calibri" w:hAnsi="Calibri" w:cs="Calibri"/>
          <w:b/>
          <w:u w:val="single"/>
        </w:rPr>
      </w:pPr>
    </w:p>
    <w:p w14:paraId="01012335" w14:textId="285FE08F" w:rsidR="00DB075A" w:rsidRDefault="00DB075A" w:rsidP="00261FE4">
      <w:pPr>
        <w:jc w:val="both"/>
        <w:rPr>
          <w:rFonts w:ascii="Calibri" w:hAnsi="Calibri" w:cs="Calibri"/>
          <w:b/>
          <w:u w:val="single"/>
        </w:rPr>
      </w:pPr>
    </w:p>
    <w:p w14:paraId="0136A16C" w14:textId="7E3A7087" w:rsidR="00DB075A" w:rsidRDefault="00DB075A" w:rsidP="00261FE4">
      <w:pPr>
        <w:jc w:val="both"/>
        <w:rPr>
          <w:rFonts w:ascii="Calibri" w:hAnsi="Calibri" w:cs="Calibri"/>
          <w:b/>
          <w:u w:val="single"/>
        </w:rPr>
      </w:pPr>
    </w:p>
    <w:p w14:paraId="22FBDC56" w14:textId="4098306F" w:rsidR="00DB075A" w:rsidRDefault="00DB075A" w:rsidP="00261FE4">
      <w:pPr>
        <w:jc w:val="both"/>
        <w:rPr>
          <w:rFonts w:ascii="Calibri" w:hAnsi="Calibri" w:cs="Calibri"/>
          <w:b/>
          <w:u w:val="single"/>
        </w:rPr>
      </w:pPr>
      <w:r>
        <w:rPr>
          <w:noProof/>
          <w:lang w:eastAsia="pt-BR"/>
        </w:rPr>
        <w:drawing>
          <wp:inline distT="0" distB="0" distL="0" distR="0" wp14:anchorId="7B94AC27" wp14:editId="7D0FABC9">
            <wp:extent cx="5400040" cy="2385695"/>
            <wp:effectExtent l="0" t="0" r="0" b="0"/>
            <wp:docPr id="14"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400040" cy="2385695"/>
                    </a:xfrm>
                    <a:prstGeom prst="rect">
                      <a:avLst/>
                    </a:prstGeom>
                  </pic:spPr>
                </pic:pic>
              </a:graphicData>
            </a:graphic>
          </wp:inline>
        </w:drawing>
      </w:r>
    </w:p>
    <w:p w14:paraId="2986FB00" w14:textId="390FBB74" w:rsidR="00DB075A" w:rsidRDefault="00DB075A" w:rsidP="00261FE4">
      <w:pPr>
        <w:jc w:val="both"/>
        <w:rPr>
          <w:rFonts w:ascii="Calibri" w:hAnsi="Calibri" w:cs="Calibri"/>
          <w:b/>
          <w:u w:val="single"/>
        </w:rPr>
      </w:pPr>
    </w:p>
    <w:p w14:paraId="2B972E34" w14:textId="134D1BB5" w:rsidR="00DB075A" w:rsidRDefault="00DB075A" w:rsidP="00261FE4">
      <w:pPr>
        <w:jc w:val="both"/>
        <w:rPr>
          <w:rFonts w:ascii="Calibri" w:hAnsi="Calibri" w:cs="Calibri"/>
          <w:b/>
          <w:u w:val="single"/>
        </w:rPr>
      </w:pPr>
      <w:r>
        <w:rPr>
          <w:noProof/>
          <w:lang w:eastAsia="pt-BR"/>
        </w:rPr>
        <w:drawing>
          <wp:inline distT="0" distB="0" distL="0" distR="0" wp14:anchorId="070B24E7" wp14:editId="60630708">
            <wp:extent cx="5400040" cy="2502535"/>
            <wp:effectExtent l="0" t="0" r="0" b="0"/>
            <wp:docPr id="15" name="Image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400040" cy="2502535"/>
                    </a:xfrm>
                    <a:prstGeom prst="rect">
                      <a:avLst/>
                    </a:prstGeom>
                  </pic:spPr>
                </pic:pic>
              </a:graphicData>
            </a:graphic>
          </wp:inline>
        </w:drawing>
      </w:r>
    </w:p>
    <w:p w14:paraId="102CA1B5" w14:textId="24D7398B" w:rsidR="00DB075A" w:rsidRDefault="00DB075A" w:rsidP="00261FE4">
      <w:pPr>
        <w:jc w:val="both"/>
        <w:rPr>
          <w:rFonts w:ascii="Calibri" w:hAnsi="Calibri" w:cs="Calibri"/>
          <w:b/>
          <w:u w:val="single"/>
        </w:rPr>
      </w:pPr>
    </w:p>
    <w:p w14:paraId="6FC73F38" w14:textId="73792D47" w:rsidR="00DB075A" w:rsidRDefault="00DB075A" w:rsidP="00261FE4">
      <w:pPr>
        <w:jc w:val="both"/>
        <w:rPr>
          <w:rFonts w:ascii="Calibri" w:hAnsi="Calibri" w:cs="Calibri"/>
          <w:b/>
          <w:u w:val="single"/>
        </w:rPr>
      </w:pPr>
      <w:r>
        <w:rPr>
          <w:noProof/>
          <w:lang w:eastAsia="pt-BR"/>
        </w:rPr>
        <w:drawing>
          <wp:inline distT="0" distB="0" distL="0" distR="0" wp14:anchorId="0ACAF79B" wp14:editId="49473184">
            <wp:extent cx="5400040" cy="1661795"/>
            <wp:effectExtent l="0" t="0" r="0" b="0"/>
            <wp:docPr id="17" name="Image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400040" cy="1661795"/>
                    </a:xfrm>
                    <a:prstGeom prst="rect">
                      <a:avLst/>
                    </a:prstGeom>
                  </pic:spPr>
                </pic:pic>
              </a:graphicData>
            </a:graphic>
          </wp:inline>
        </w:drawing>
      </w:r>
    </w:p>
    <w:p w14:paraId="7944373F" w14:textId="324AC28D" w:rsidR="0025677F" w:rsidRDefault="0025677F" w:rsidP="00261FE4">
      <w:pPr>
        <w:jc w:val="both"/>
        <w:rPr>
          <w:rFonts w:ascii="Calibri" w:hAnsi="Calibri" w:cs="Calibri"/>
          <w:b/>
          <w:u w:val="single"/>
        </w:rPr>
      </w:pPr>
    </w:p>
    <w:p w14:paraId="791659DC" w14:textId="7A802167" w:rsidR="0025677F" w:rsidRPr="00261FE4" w:rsidRDefault="0025677F" w:rsidP="00261FE4">
      <w:pPr>
        <w:jc w:val="both"/>
        <w:rPr>
          <w:rFonts w:ascii="Calibri" w:hAnsi="Calibri" w:cs="Calibri"/>
          <w:b/>
          <w:u w:val="single"/>
        </w:rPr>
      </w:pPr>
    </w:p>
    <w:p w14:paraId="4B5D334A" w14:textId="77777777" w:rsidR="00261FE4" w:rsidRDefault="00261FE4" w:rsidP="00D034B0">
      <w:pPr>
        <w:jc w:val="both"/>
        <w:rPr>
          <w:rFonts w:ascii="Calibri" w:hAnsi="Calibri" w:cs="Calibri"/>
        </w:rPr>
      </w:pPr>
    </w:p>
    <w:p w14:paraId="2F99A5FA" w14:textId="6701B6FB" w:rsidR="00D034B0" w:rsidRDefault="00D034B0" w:rsidP="002D093A">
      <w:pPr>
        <w:pStyle w:val="Ttulo3"/>
        <w:numPr>
          <w:ilvl w:val="2"/>
          <w:numId w:val="10"/>
        </w:numPr>
      </w:pPr>
      <w:bookmarkStart w:id="8" w:name="_Toc180593254"/>
      <w:r>
        <w:t>Alocação no Segmento de Renda Fixa</w:t>
      </w:r>
      <w:bookmarkEnd w:id="8"/>
    </w:p>
    <w:p w14:paraId="34814675" w14:textId="77777777" w:rsidR="00081C2F" w:rsidRDefault="00081C2F" w:rsidP="00081C2F">
      <w:pPr>
        <w:jc w:val="both"/>
        <w:rPr>
          <w:rFonts w:ascii="Calibri" w:hAnsi="Calibri" w:cs="Calibri"/>
        </w:rPr>
      </w:pPr>
    </w:p>
    <w:p w14:paraId="5E78B9CA" w14:textId="77777777" w:rsidR="00F5611C" w:rsidRPr="00F5611C" w:rsidRDefault="00F5611C" w:rsidP="00F5611C">
      <w:pPr>
        <w:ind w:firstLine="708"/>
        <w:jc w:val="both"/>
        <w:rPr>
          <w:rFonts w:ascii="Calibri" w:hAnsi="Calibri" w:cs="Calibri"/>
        </w:rPr>
      </w:pPr>
      <w:r w:rsidRPr="00F5611C">
        <w:rPr>
          <w:rFonts w:ascii="Calibri" w:hAnsi="Calibri" w:cs="Calibri"/>
        </w:rPr>
        <w:t>Este segmento de aplicação contempla a alocação de ativos expostos a risco de taxas de juros prefixadas, pós-fixadas e de índices de preços, bem como a risco de liquidez e de crédito.</w:t>
      </w:r>
    </w:p>
    <w:p w14:paraId="587C5891" w14:textId="77777777" w:rsidR="00F5611C" w:rsidRDefault="00F5611C" w:rsidP="00F5611C">
      <w:pPr>
        <w:ind w:firstLine="708"/>
        <w:jc w:val="both"/>
        <w:rPr>
          <w:rFonts w:ascii="Calibri" w:hAnsi="Calibri" w:cs="Calibri"/>
        </w:rPr>
      </w:pPr>
      <w:r w:rsidRPr="00F5611C">
        <w:rPr>
          <w:rFonts w:ascii="Calibri" w:hAnsi="Calibri" w:cs="Calibri"/>
        </w:rPr>
        <w:t>Os investimentos nesse segmento serão realizados por meio da alocação em ativos de renda fixa e/ou cotas de fundo</w:t>
      </w:r>
      <w:r>
        <w:rPr>
          <w:rFonts w:ascii="Calibri" w:hAnsi="Calibri" w:cs="Calibri"/>
        </w:rPr>
        <w:t>s de investimento de renda fixa</w:t>
      </w:r>
      <w:r w:rsidRPr="00F5611C">
        <w:rPr>
          <w:rFonts w:ascii="Calibri" w:hAnsi="Calibri" w:cs="Calibri"/>
        </w:rPr>
        <w:t>, podendo ser realizados investimentos nos seguintes ativos:</w:t>
      </w:r>
    </w:p>
    <w:p w14:paraId="355E98E1" w14:textId="77777777" w:rsidR="00F5611C" w:rsidRPr="00F5611C" w:rsidRDefault="00F5611C" w:rsidP="00F5611C">
      <w:pPr>
        <w:ind w:firstLine="708"/>
        <w:jc w:val="both"/>
        <w:rPr>
          <w:rFonts w:ascii="Calibri" w:hAnsi="Calibri" w:cs="Calibri"/>
        </w:rPr>
      </w:pPr>
    </w:p>
    <w:p w14:paraId="091BC04A" w14:textId="77777777" w:rsidR="00F5611C" w:rsidRPr="00F5611C" w:rsidRDefault="00F5611C" w:rsidP="000A0C86">
      <w:pPr>
        <w:pStyle w:val="PargrafodaLista"/>
        <w:numPr>
          <w:ilvl w:val="0"/>
          <w:numId w:val="20"/>
        </w:numPr>
        <w:jc w:val="both"/>
        <w:rPr>
          <w:rFonts w:ascii="Calibri" w:hAnsi="Calibri" w:cs="Calibri"/>
        </w:rPr>
      </w:pPr>
      <w:r w:rsidRPr="00F5611C">
        <w:rPr>
          <w:rFonts w:ascii="Calibri" w:hAnsi="Calibri" w:cs="Calibri"/>
        </w:rPr>
        <w:t>Títulos da dívida pública mobiliária federal interna;</w:t>
      </w:r>
    </w:p>
    <w:p w14:paraId="08AC947A" w14:textId="77777777" w:rsidR="00F5611C" w:rsidRDefault="00F5611C" w:rsidP="000A0C86">
      <w:pPr>
        <w:pStyle w:val="PargrafodaLista"/>
        <w:numPr>
          <w:ilvl w:val="0"/>
          <w:numId w:val="20"/>
        </w:numPr>
        <w:jc w:val="both"/>
        <w:rPr>
          <w:rFonts w:ascii="Calibri" w:hAnsi="Calibri" w:cs="Calibri"/>
        </w:rPr>
      </w:pPr>
      <w:r w:rsidRPr="00F5611C">
        <w:rPr>
          <w:rFonts w:ascii="Calibri" w:hAnsi="Calibri" w:cs="Calibri"/>
        </w:rPr>
        <w:t>Ativos financeiros de renda fixa de emissão com obrigação ou coobrigação de instituições financeiras bancárias autorizadas a funcionar pelo Banco Central do Brasil;</w:t>
      </w:r>
    </w:p>
    <w:p w14:paraId="5FC8CBA2" w14:textId="77777777" w:rsidR="00F5611C" w:rsidRDefault="00F5611C" w:rsidP="000A0C86">
      <w:pPr>
        <w:pStyle w:val="PargrafodaLista"/>
        <w:numPr>
          <w:ilvl w:val="0"/>
          <w:numId w:val="20"/>
        </w:numPr>
        <w:jc w:val="both"/>
        <w:rPr>
          <w:rFonts w:ascii="Calibri" w:hAnsi="Calibri" w:cs="Calibri"/>
        </w:rPr>
      </w:pPr>
      <w:r w:rsidRPr="00F5611C">
        <w:rPr>
          <w:rFonts w:ascii="Calibri" w:hAnsi="Calibri" w:cs="Calibri"/>
        </w:rPr>
        <w:t>Cotas de fundos de investimento admitidas à negociação no mercado secundário por intermédio de bolsa de valores, cujas carteiras sejam compostas por ativos financeiros que visem refletir as variações e rentabilidade de índices de referência de renda fixa (Fundo de Índice de Renda Fixa), nos termos da regulamentação estabelecida pela Comissão de Valores Mobiliários;</w:t>
      </w:r>
    </w:p>
    <w:p w14:paraId="3538F259" w14:textId="77777777" w:rsidR="00F5611C" w:rsidRDefault="00F5611C" w:rsidP="000A0C86">
      <w:pPr>
        <w:pStyle w:val="PargrafodaLista"/>
        <w:numPr>
          <w:ilvl w:val="0"/>
          <w:numId w:val="20"/>
        </w:numPr>
        <w:jc w:val="both"/>
        <w:rPr>
          <w:rFonts w:ascii="Calibri" w:hAnsi="Calibri" w:cs="Calibri"/>
        </w:rPr>
      </w:pPr>
      <w:r w:rsidRPr="00F5611C">
        <w:rPr>
          <w:rFonts w:ascii="Calibri" w:hAnsi="Calibri" w:cs="Calibri"/>
        </w:rPr>
        <w:t>Cotas de classe de fundos de investimento em direitos creditórios (FIDC);</w:t>
      </w:r>
    </w:p>
    <w:p w14:paraId="64B61AC5" w14:textId="77777777" w:rsidR="00F5611C" w:rsidRPr="00F5611C" w:rsidRDefault="00F5611C" w:rsidP="000A0C86">
      <w:pPr>
        <w:pStyle w:val="PargrafodaLista"/>
        <w:numPr>
          <w:ilvl w:val="0"/>
          <w:numId w:val="20"/>
        </w:numPr>
        <w:jc w:val="both"/>
        <w:rPr>
          <w:rFonts w:ascii="Calibri" w:hAnsi="Calibri" w:cs="Calibri"/>
        </w:rPr>
      </w:pPr>
      <w:r>
        <w:rPr>
          <w:rFonts w:ascii="Calibri" w:hAnsi="Calibri" w:cs="Calibri"/>
        </w:rPr>
        <w:t>O</w:t>
      </w:r>
      <w:r w:rsidRPr="00F5611C">
        <w:rPr>
          <w:rFonts w:ascii="Calibri" w:hAnsi="Calibri" w:cs="Calibri"/>
        </w:rPr>
        <w:t>perações compromissadas lastreadas em títulos públicos federais interna.</w:t>
      </w:r>
    </w:p>
    <w:p w14:paraId="6E93DB8C" w14:textId="77777777" w:rsidR="0083651B" w:rsidRDefault="0083651B" w:rsidP="00F5611C">
      <w:pPr>
        <w:ind w:firstLine="708"/>
        <w:jc w:val="both"/>
        <w:rPr>
          <w:rFonts w:ascii="Calibri" w:hAnsi="Calibri" w:cs="Calibri"/>
        </w:rPr>
      </w:pPr>
    </w:p>
    <w:p w14:paraId="0E4496FE" w14:textId="54214D11" w:rsidR="00F5611C" w:rsidRDefault="00F5611C" w:rsidP="00F5611C">
      <w:pPr>
        <w:ind w:firstLine="708"/>
        <w:jc w:val="both"/>
        <w:rPr>
          <w:rFonts w:ascii="Calibri" w:hAnsi="Calibri" w:cs="Calibri"/>
        </w:rPr>
      </w:pPr>
      <w:r w:rsidRPr="00F5611C">
        <w:rPr>
          <w:rFonts w:ascii="Calibri" w:hAnsi="Calibri" w:cs="Calibri"/>
        </w:rPr>
        <w:t>Neste segmento de aplicação serão utilizadas Operações Compromissadas lastreadas em Títulos Públicos Federais com a finalidade de fornecer a liquidez necessária ao cumprimento dos pagamentos de benefícios e também remunerar recursos transitórios à espera de uma alocação definitiva. Para esse mesmo fim, também poderão ser mantidos fundos de renda fixa.</w:t>
      </w:r>
    </w:p>
    <w:p w14:paraId="4865E0F1" w14:textId="427D8333" w:rsidR="0083651B" w:rsidRDefault="00F5611C" w:rsidP="00F5611C">
      <w:pPr>
        <w:ind w:firstLine="708"/>
        <w:jc w:val="both"/>
        <w:rPr>
          <w:rFonts w:ascii="Calibri" w:hAnsi="Calibri" w:cs="Calibri"/>
        </w:rPr>
      </w:pPr>
      <w:r w:rsidRPr="00F5611C">
        <w:rPr>
          <w:rFonts w:ascii="Calibri" w:hAnsi="Calibri" w:cs="Calibri"/>
        </w:rPr>
        <w:t xml:space="preserve">Os investimentos no segmento renda fixa deverão, preponderantemente, ser alocados em títulos indexados à inflação, respeitando-se, para os títulos de emissão privada, os limites para cada instrumento financeiro passível de </w:t>
      </w:r>
      <w:r>
        <w:rPr>
          <w:rFonts w:ascii="Calibri" w:hAnsi="Calibri" w:cs="Calibri"/>
        </w:rPr>
        <w:t>alocação.</w:t>
      </w:r>
    </w:p>
    <w:p w14:paraId="49714E66" w14:textId="77777777" w:rsidR="00F5611C" w:rsidRDefault="00F5611C" w:rsidP="00F5611C">
      <w:pPr>
        <w:ind w:firstLine="708"/>
        <w:jc w:val="both"/>
        <w:rPr>
          <w:rFonts w:ascii="Calibri" w:hAnsi="Calibri" w:cs="Calibri"/>
        </w:rPr>
      </w:pPr>
      <w:r w:rsidRPr="00F5611C">
        <w:rPr>
          <w:rFonts w:ascii="Calibri" w:hAnsi="Calibri" w:cs="Calibri"/>
        </w:rPr>
        <w:t>Na eventualidade de algum título ou valor mobiliário ser adquirido e/ou vendido no mercado secundário, o mesmo deverá ser negociado e registrado por intermédio de plataforma eletrônica.</w:t>
      </w:r>
    </w:p>
    <w:p w14:paraId="1AD9887B" w14:textId="6E92811F" w:rsidR="00F5611C" w:rsidRDefault="00F5611C" w:rsidP="00F5611C">
      <w:pPr>
        <w:ind w:firstLine="708"/>
        <w:jc w:val="both"/>
        <w:rPr>
          <w:rFonts w:ascii="Calibri" w:hAnsi="Calibri" w:cs="Calibri"/>
        </w:rPr>
      </w:pPr>
      <w:r w:rsidRPr="00F5611C">
        <w:rPr>
          <w:rFonts w:ascii="Calibri" w:hAnsi="Calibri" w:cs="Calibri"/>
        </w:rPr>
        <w:t>A precificação dos títulos neste segmento poderá ocorrer pelos critérios “marcação a mercado” e “mantido até o vencimento”, não impedindo que coexistam títulos precificados por esses dois critérios na mesma carteira.</w:t>
      </w:r>
    </w:p>
    <w:p w14:paraId="0570823E" w14:textId="303BAB89" w:rsidR="002D093A" w:rsidRDefault="002D093A" w:rsidP="002D093A">
      <w:pPr>
        <w:jc w:val="both"/>
        <w:rPr>
          <w:rFonts w:ascii="Calibri" w:hAnsi="Calibri" w:cs="Calibri"/>
        </w:rPr>
      </w:pPr>
    </w:p>
    <w:p w14:paraId="7C307644" w14:textId="12F5E6C5" w:rsidR="002D093A" w:rsidRDefault="002D093A" w:rsidP="002D093A">
      <w:pPr>
        <w:jc w:val="both"/>
        <w:rPr>
          <w:rFonts w:ascii="Calibri" w:hAnsi="Calibri" w:cs="Calibri"/>
        </w:rPr>
      </w:pPr>
    </w:p>
    <w:p w14:paraId="7EA2CC82" w14:textId="77777777" w:rsidR="00AA663C" w:rsidRDefault="00AA663C" w:rsidP="002D093A">
      <w:pPr>
        <w:jc w:val="both"/>
        <w:rPr>
          <w:rFonts w:ascii="Calibri" w:hAnsi="Calibri" w:cs="Calibri"/>
        </w:rPr>
      </w:pPr>
    </w:p>
    <w:p w14:paraId="4A7681EC" w14:textId="77777777" w:rsidR="000A0C86" w:rsidRDefault="000A0C86" w:rsidP="002D093A">
      <w:pPr>
        <w:jc w:val="both"/>
        <w:rPr>
          <w:rFonts w:ascii="Calibri" w:hAnsi="Calibri" w:cs="Calibri"/>
        </w:rPr>
      </w:pPr>
    </w:p>
    <w:p w14:paraId="0FFD9783" w14:textId="595A9AEE" w:rsidR="002D093A" w:rsidRDefault="002D093A" w:rsidP="002D093A">
      <w:pPr>
        <w:jc w:val="center"/>
        <w:rPr>
          <w:rFonts w:ascii="Calibri" w:hAnsi="Calibri" w:cs="Calibri"/>
        </w:rPr>
      </w:pPr>
      <w:r w:rsidRPr="002D093A">
        <w:rPr>
          <w:noProof/>
          <w:lang w:eastAsia="pt-BR"/>
        </w:rPr>
        <w:drawing>
          <wp:inline distT="0" distB="0" distL="0" distR="0" wp14:anchorId="13D7A60E" wp14:editId="4E63CE2D">
            <wp:extent cx="5400040" cy="1980856"/>
            <wp:effectExtent l="0" t="0" r="0" b="635"/>
            <wp:docPr id="18" name="Image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00040" cy="1980856"/>
                    </a:xfrm>
                    <a:prstGeom prst="rect">
                      <a:avLst/>
                    </a:prstGeom>
                    <a:noFill/>
                    <a:ln>
                      <a:noFill/>
                    </a:ln>
                  </pic:spPr>
                </pic:pic>
              </a:graphicData>
            </a:graphic>
          </wp:inline>
        </w:drawing>
      </w:r>
    </w:p>
    <w:p w14:paraId="03F67AE0" w14:textId="499A18C8" w:rsidR="002D093A" w:rsidRDefault="002D093A" w:rsidP="002D093A">
      <w:pPr>
        <w:rPr>
          <w:rFonts w:ascii="Calibri" w:hAnsi="Calibri" w:cs="Calibri"/>
        </w:rPr>
      </w:pPr>
    </w:p>
    <w:p w14:paraId="37B587B9" w14:textId="4D2A3AB7" w:rsidR="002D093A" w:rsidRPr="002D093A" w:rsidRDefault="002D093A" w:rsidP="002D093A">
      <w:pPr>
        <w:rPr>
          <w:rFonts w:ascii="Calibri" w:hAnsi="Calibri" w:cs="Calibri"/>
          <w:b/>
          <w:u w:val="single"/>
        </w:rPr>
      </w:pPr>
      <w:r w:rsidRPr="002D093A">
        <w:rPr>
          <w:rFonts w:ascii="Calibri" w:hAnsi="Calibri" w:cs="Calibri"/>
          <w:b/>
          <w:u w:val="single"/>
        </w:rPr>
        <w:t>Meta de Rentabilidade do Segmento = 100% do CDI</w:t>
      </w:r>
    </w:p>
    <w:p w14:paraId="26559FF7" w14:textId="77777777" w:rsidR="00D034B0" w:rsidRDefault="00D034B0" w:rsidP="00D034B0">
      <w:pPr>
        <w:jc w:val="both"/>
        <w:rPr>
          <w:rFonts w:ascii="Calibri" w:hAnsi="Calibri" w:cs="Calibri"/>
        </w:rPr>
      </w:pPr>
    </w:p>
    <w:p w14:paraId="3DE692EF" w14:textId="5C89843C" w:rsidR="00D034B0" w:rsidRPr="00D034B0" w:rsidRDefault="00D034B0" w:rsidP="002D093A">
      <w:pPr>
        <w:pStyle w:val="Ttulo3"/>
        <w:numPr>
          <w:ilvl w:val="2"/>
          <w:numId w:val="10"/>
        </w:numPr>
      </w:pPr>
      <w:bookmarkStart w:id="9" w:name="_Toc180593255"/>
      <w:r>
        <w:t>Alocação no Segmento de Renda Vari</w:t>
      </w:r>
      <w:r w:rsidR="003858DF">
        <w:t>ável</w:t>
      </w:r>
      <w:bookmarkEnd w:id="9"/>
    </w:p>
    <w:p w14:paraId="519FAA3F" w14:textId="77777777" w:rsidR="001C42A9" w:rsidRDefault="001C42A9" w:rsidP="001C42A9">
      <w:pPr>
        <w:jc w:val="both"/>
        <w:rPr>
          <w:rFonts w:ascii="Calibri" w:hAnsi="Calibri" w:cs="Calibri"/>
        </w:rPr>
      </w:pPr>
    </w:p>
    <w:p w14:paraId="75532167" w14:textId="77777777" w:rsidR="00925F10" w:rsidRDefault="00925F10" w:rsidP="00925F10">
      <w:pPr>
        <w:ind w:firstLine="708"/>
        <w:jc w:val="both"/>
        <w:rPr>
          <w:rFonts w:ascii="Calibri" w:hAnsi="Calibri" w:cs="Calibri"/>
        </w:rPr>
      </w:pPr>
      <w:r w:rsidRPr="00925F10">
        <w:rPr>
          <w:rFonts w:ascii="Calibri" w:hAnsi="Calibri" w:cs="Calibri"/>
        </w:rPr>
        <w:t>O segmento renda variável é composto por ativos expostos à variação de preços de ações de emissão de companhias abertas, bem como ao risco de liquidez.</w:t>
      </w:r>
    </w:p>
    <w:p w14:paraId="1135698D" w14:textId="77777777" w:rsidR="00925F10" w:rsidRDefault="00925F10" w:rsidP="00925F10">
      <w:pPr>
        <w:ind w:firstLine="708"/>
        <w:jc w:val="both"/>
        <w:rPr>
          <w:rFonts w:ascii="Calibri" w:hAnsi="Calibri" w:cs="Calibri"/>
        </w:rPr>
      </w:pPr>
      <w:r w:rsidRPr="00925F10">
        <w:rPr>
          <w:rFonts w:ascii="Calibri" w:hAnsi="Calibri" w:cs="Calibri"/>
        </w:rPr>
        <w:t>Nesse segmento poderão ser realizados inv</w:t>
      </w:r>
      <w:r w:rsidR="001F2FFC">
        <w:rPr>
          <w:rFonts w:ascii="Calibri" w:hAnsi="Calibri" w:cs="Calibri"/>
        </w:rPr>
        <w:t>estimentos nos seguintes ativos:</w:t>
      </w:r>
    </w:p>
    <w:p w14:paraId="491F06E3" w14:textId="77777777" w:rsidR="00925F10" w:rsidRPr="00925F10" w:rsidRDefault="00925F10" w:rsidP="00925F10">
      <w:pPr>
        <w:jc w:val="both"/>
        <w:rPr>
          <w:rFonts w:ascii="Calibri" w:hAnsi="Calibri" w:cs="Calibri"/>
        </w:rPr>
      </w:pPr>
    </w:p>
    <w:p w14:paraId="465802F0" w14:textId="77777777" w:rsidR="00925F10" w:rsidRPr="00925F10" w:rsidRDefault="00925F10" w:rsidP="000A0C86">
      <w:pPr>
        <w:pStyle w:val="PargrafodaLista"/>
        <w:numPr>
          <w:ilvl w:val="0"/>
          <w:numId w:val="21"/>
        </w:numPr>
        <w:jc w:val="both"/>
        <w:rPr>
          <w:rFonts w:ascii="Calibri" w:hAnsi="Calibri" w:cs="Calibri"/>
        </w:rPr>
      </w:pPr>
      <w:r>
        <w:rPr>
          <w:rFonts w:ascii="Calibri" w:hAnsi="Calibri" w:cs="Calibri"/>
        </w:rPr>
        <w:t>C</w:t>
      </w:r>
      <w:r w:rsidRPr="00925F10">
        <w:rPr>
          <w:rFonts w:ascii="Calibri" w:hAnsi="Calibri" w:cs="Calibri"/>
        </w:rPr>
        <w:t>otas de fundos de índice referenciados em ações de emissão de sociedades por ações de capital aberto cujas ações sejam admitidas à negociação em bolsa de valores;</w:t>
      </w:r>
    </w:p>
    <w:p w14:paraId="39758E2D" w14:textId="2D2070AF" w:rsidR="00925F10" w:rsidRDefault="00925F10" w:rsidP="000A0C86">
      <w:pPr>
        <w:pStyle w:val="PargrafodaLista"/>
        <w:numPr>
          <w:ilvl w:val="0"/>
          <w:numId w:val="21"/>
        </w:numPr>
        <w:jc w:val="both"/>
        <w:rPr>
          <w:rFonts w:ascii="Calibri" w:hAnsi="Calibri" w:cs="Calibri"/>
        </w:rPr>
      </w:pPr>
      <w:r>
        <w:rPr>
          <w:rFonts w:ascii="Calibri" w:hAnsi="Calibri" w:cs="Calibri"/>
        </w:rPr>
        <w:t>C</w:t>
      </w:r>
      <w:r w:rsidRPr="00925F10">
        <w:rPr>
          <w:rFonts w:ascii="Calibri" w:hAnsi="Calibri" w:cs="Calibri"/>
        </w:rPr>
        <w:t>otas de fundos de ações constituídos s</w:t>
      </w:r>
      <w:r w:rsidR="002D093A">
        <w:rPr>
          <w:rFonts w:ascii="Calibri" w:hAnsi="Calibri" w:cs="Calibri"/>
        </w:rPr>
        <w:t>ob a forma de condomínio aberto.</w:t>
      </w:r>
    </w:p>
    <w:p w14:paraId="508FC12A" w14:textId="1D5C385D" w:rsidR="002D093A" w:rsidRDefault="002D093A" w:rsidP="002D093A">
      <w:pPr>
        <w:jc w:val="both"/>
        <w:rPr>
          <w:rFonts w:ascii="Calibri" w:hAnsi="Calibri" w:cs="Calibri"/>
        </w:rPr>
      </w:pPr>
    </w:p>
    <w:p w14:paraId="75EB0F57" w14:textId="429DEE30" w:rsidR="002D093A" w:rsidRDefault="002D093A" w:rsidP="002D093A">
      <w:pPr>
        <w:jc w:val="both"/>
        <w:rPr>
          <w:rFonts w:ascii="Calibri" w:hAnsi="Calibri" w:cs="Calibri"/>
        </w:rPr>
      </w:pPr>
      <w:r w:rsidRPr="002D093A">
        <w:rPr>
          <w:noProof/>
          <w:lang w:eastAsia="pt-BR"/>
        </w:rPr>
        <w:drawing>
          <wp:inline distT="0" distB="0" distL="0" distR="0" wp14:anchorId="0946D90A" wp14:editId="5E421885">
            <wp:extent cx="5400040" cy="665954"/>
            <wp:effectExtent l="0" t="0" r="0" b="1270"/>
            <wp:docPr id="19" name="Image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400040" cy="665954"/>
                    </a:xfrm>
                    <a:prstGeom prst="rect">
                      <a:avLst/>
                    </a:prstGeom>
                    <a:noFill/>
                    <a:ln>
                      <a:noFill/>
                    </a:ln>
                  </pic:spPr>
                </pic:pic>
              </a:graphicData>
            </a:graphic>
          </wp:inline>
        </w:drawing>
      </w:r>
    </w:p>
    <w:p w14:paraId="3FC77A15" w14:textId="1988292C" w:rsidR="002D093A" w:rsidRDefault="002D093A" w:rsidP="002D093A">
      <w:pPr>
        <w:jc w:val="both"/>
        <w:rPr>
          <w:rFonts w:ascii="Calibri" w:hAnsi="Calibri" w:cs="Calibri"/>
        </w:rPr>
      </w:pPr>
    </w:p>
    <w:p w14:paraId="314675C7" w14:textId="0B4C6AAC" w:rsidR="002D093A" w:rsidRPr="002D093A" w:rsidRDefault="002D093A" w:rsidP="002D093A">
      <w:pPr>
        <w:rPr>
          <w:rFonts w:ascii="Calibri" w:hAnsi="Calibri" w:cs="Calibri"/>
          <w:b/>
          <w:u w:val="single"/>
        </w:rPr>
      </w:pPr>
      <w:r w:rsidRPr="002D093A">
        <w:rPr>
          <w:rFonts w:ascii="Calibri" w:hAnsi="Calibri" w:cs="Calibri"/>
          <w:b/>
          <w:u w:val="single"/>
        </w:rPr>
        <w:t>Meta de Rentabi</w:t>
      </w:r>
      <w:r>
        <w:rPr>
          <w:rFonts w:ascii="Calibri" w:hAnsi="Calibri" w:cs="Calibri"/>
          <w:b/>
          <w:u w:val="single"/>
        </w:rPr>
        <w:t>lidade do Segmento = 100% do IBOVESPA</w:t>
      </w:r>
    </w:p>
    <w:p w14:paraId="17A03209" w14:textId="32242C21" w:rsidR="002D093A" w:rsidRDefault="002D093A" w:rsidP="002D093A">
      <w:pPr>
        <w:jc w:val="both"/>
        <w:rPr>
          <w:rFonts w:ascii="Calibri" w:hAnsi="Calibri" w:cs="Calibri"/>
        </w:rPr>
      </w:pPr>
    </w:p>
    <w:p w14:paraId="30BDACDB" w14:textId="5DBBF1A2" w:rsidR="002D093A" w:rsidRDefault="002D093A" w:rsidP="002D093A">
      <w:pPr>
        <w:jc w:val="both"/>
        <w:rPr>
          <w:rFonts w:ascii="Calibri" w:hAnsi="Calibri" w:cs="Calibri"/>
        </w:rPr>
      </w:pPr>
    </w:p>
    <w:p w14:paraId="0E31BCFB" w14:textId="175DF0EC" w:rsidR="002D093A" w:rsidRDefault="002D093A" w:rsidP="002D093A">
      <w:pPr>
        <w:jc w:val="both"/>
        <w:rPr>
          <w:rFonts w:ascii="Calibri" w:hAnsi="Calibri" w:cs="Calibri"/>
        </w:rPr>
      </w:pPr>
    </w:p>
    <w:p w14:paraId="09F05D89" w14:textId="77777777" w:rsidR="002D093A" w:rsidRPr="002D093A" w:rsidRDefault="002D093A" w:rsidP="002D093A">
      <w:pPr>
        <w:jc w:val="both"/>
        <w:rPr>
          <w:rFonts w:ascii="Calibri" w:hAnsi="Calibri" w:cs="Calibri"/>
        </w:rPr>
      </w:pPr>
    </w:p>
    <w:p w14:paraId="303DBFA4" w14:textId="4F4430D9" w:rsidR="008B6F67" w:rsidRDefault="008B6F67" w:rsidP="002D093A">
      <w:pPr>
        <w:pStyle w:val="Ttulo3"/>
        <w:numPr>
          <w:ilvl w:val="2"/>
          <w:numId w:val="10"/>
        </w:numPr>
      </w:pPr>
      <w:bookmarkStart w:id="10" w:name="_Toc180593256"/>
      <w:r>
        <w:t>Alocação no Segmento de Investimentos no Exterior</w:t>
      </w:r>
      <w:bookmarkEnd w:id="10"/>
    </w:p>
    <w:p w14:paraId="3F218A37" w14:textId="36E45060" w:rsidR="008B6F67" w:rsidRDefault="008B6F67" w:rsidP="008B6F67"/>
    <w:p w14:paraId="1F629852" w14:textId="77777777" w:rsidR="000A0C86" w:rsidRPr="000A0C86" w:rsidRDefault="000A0C86" w:rsidP="000A0C86">
      <w:pPr>
        <w:ind w:firstLine="708"/>
        <w:jc w:val="both"/>
        <w:rPr>
          <w:rFonts w:ascii="Calibri" w:hAnsi="Calibri" w:cs="Calibri"/>
        </w:rPr>
      </w:pPr>
      <w:r w:rsidRPr="000A0C86">
        <w:rPr>
          <w:rFonts w:ascii="Calibri" w:hAnsi="Calibri" w:cs="Calibri"/>
        </w:rPr>
        <w:t>No segmento de investimentos no exterior, as aplicações dos recursos dos regimes próprios de previdência social subordinam-se ao limite de até 10% (dez por cento) no conjunto de:</w:t>
      </w:r>
    </w:p>
    <w:p w14:paraId="2A7FA952" w14:textId="77777777" w:rsidR="000A0C86" w:rsidRDefault="000A0C86" w:rsidP="000A0C86">
      <w:pPr>
        <w:jc w:val="both"/>
        <w:rPr>
          <w:rFonts w:ascii="Calibri" w:hAnsi="Calibri" w:cs="Calibri"/>
        </w:rPr>
      </w:pPr>
    </w:p>
    <w:p w14:paraId="01400D86" w14:textId="720D8941" w:rsidR="000A0C86" w:rsidRPr="000A0C86" w:rsidRDefault="000A0C86" w:rsidP="000A0C86">
      <w:pPr>
        <w:pStyle w:val="PargrafodaLista"/>
        <w:numPr>
          <w:ilvl w:val="0"/>
          <w:numId w:val="22"/>
        </w:numPr>
        <w:jc w:val="both"/>
        <w:rPr>
          <w:rFonts w:ascii="Calibri" w:hAnsi="Calibri" w:cs="Calibri"/>
        </w:rPr>
      </w:pPr>
      <w:r w:rsidRPr="000A0C86">
        <w:rPr>
          <w:rFonts w:ascii="Calibri" w:hAnsi="Calibri" w:cs="Calibri"/>
        </w:rPr>
        <w:t>Cotas de fundos de investimento e cotas de fundos de investimento em cotas de fundos de investimento classificados como “Renda Fixa - Dívida Externa”;</w:t>
      </w:r>
    </w:p>
    <w:p w14:paraId="56807728" w14:textId="77777777" w:rsidR="000A0C86" w:rsidRPr="000A0C86" w:rsidRDefault="000A0C86" w:rsidP="000A0C86">
      <w:pPr>
        <w:pStyle w:val="PargrafodaLista"/>
        <w:numPr>
          <w:ilvl w:val="0"/>
          <w:numId w:val="22"/>
        </w:numPr>
        <w:jc w:val="both"/>
        <w:rPr>
          <w:rFonts w:ascii="Calibri" w:hAnsi="Calibri" w:cs="Calibri"/>
        </w:rPr>
      </w:pPr>
      <w:r w:rsidRPr="000A0C86">
        <w:rPr>
          <w:rFonts w:ascii="Calibri" w:hAnsi="Calibri" w:cs="Calibri"/>
        </w:rPr>
        <w:t>Cotas de fundos de investimento constituídos no Brasil sob a forma de condomínio aberto com o sufixo “Investimento no Exterior”, nos termos da regulamentação estabelecida pela Comissão de Valores Mobiliários, que invistam, no mínimo, 67% (sessenta e sete por cento) do seu patrimônio líquido em cotas de fundos de investimento constituídos no exterior;</w:t>
      </w:r>
    </w:p>
    <w:p w14:paraId="6FEC50E8" w14:textId="02052D93" w:rsidR="008B6F67" w:rsidRDefault="000A0C86" w:rsidP="000A0C86">
      <w:pPr>
        <w:pStyle w:val="PargrafodaLista"/>
        <w:numPr>
          <w:ilvl w:val="0"/>
          <w:numId w:val="22"/>
        </w:numPr>
        <w:jc w:val="both"/>
        <w:rPr>
          <w:rFonts w:ascii="Calibri" w:hAnsi="Calibri" w:cs="Calibri"/>
        </w:rPr>
      </w:pPr>
      <w:r w:rsidRPr="000A0C86">
        <w:rPr>
          <w:rFonts w:ascii="Calibri" w:hAnsi="Calibri" w:cs="Calibri"/>
        </w:rPr>
        <w:t>Cotas dos fundos da classe “Ações – BDR Nível I”, nos termos da regulamentação estabelecida pela Comissão de Valores Mobiliários.</w:t>
      </w:r>
    </w:p>
    <w:p w14:paraId="1BB21947" w14:textId="4C814E5B" w:rsidR="000A0C86" w:rsidRDefault="000A0C86" w:rsidP="000A0C86">
      <w:pPr>
        <w:jc w:val="both"/>
        <w:rPr>
          <w:rFonts w:ascii="Calibri" w:hAnsi="Calibri" w:cs="Calibri"/>
        </w:rPr>
      </w:pPr>
    </w:p>
    <w:p w14:paraId="17A7DFDD" w14:textId="45B52281" w:rsidR="000A0C86" w:rsidRDefault="000A0C86" w:rsidP="000A0C86">
      <w:pPr>
        <w:jc w:val="both"/>
        <w:rPr>
          <w:rFonts w:ascii="Calibri" w:hAnsi="Calibri" w:cs="Calibri"/>
        </w:rPr>
      </w:pPr>
      <w:r w:rsidRPr="000A0C86">
        <w:rPr>
          <w:noProof/>
          <w:lang w:eastAsia="pt-BR"/>
        </w:rPr>
        <w:drawing>
          <wp:inline distT="0" distB="0" distL="0" distR="0" wp14:anchorId="722EFB4F" wp14:editId="588E0D8A">
            <wp:extent cx="5400040" cy="831071"/>
            <wp:effectExtent l="0" t="0" r="0" b="7620"/>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400040" cy="831071"/>
                    </a:xfrm>
                    <a:prstGeom prst="rect">
                      <a:avLst/>
                    </a:prstGeom>
                    <a:noFill/>
                    <a:ln>
                      <a:noFill/>
                    </a:ln>
                  </pic:spPr>
                </pic:pic>
              </a:graphicData>
            </a:graphic>
          </wp:inline>
        </w:drawing>
      </w:r>
    </w:p>
    <w:p w14:paraId="50F97898" w14:textId="613A2BAB" w:rsidR="000A0C86" w:rsidRDefault="000A0C86" w:rsidP="000A0C86">
      <w:pPr>
        <w:jc w:val="both"/>
        <w:rPr>
          <w:rFonts w:ascii="Calibri" w:hAnsi="Calibri" w:cs="Calibri"/>
        </w:rPr>
      </w:pPr>
    </w:p>
    <w:p w14:paraId="0DD3A586" w14:textId="0E1FDE83" w:rsidR="000A0C86" w:rsidRPr="002D093A" w:rsidRDefault="000A0C86" w:rsidP="000A0C86">
      <w:pPr>
        <w:rPr>
          <w:rFonts w:ascii="Calibri" w:hAnsi="Calibri" w:cs="Calibri"/>
          <w:b/>
          <w:u w:val="single"/>
        </w:rPr>
      </w:pPr>
      <w:r w:rsidRPr="002D093A">
        <w:rPr>
          <w:rFonts w:ascii="Calibri" w:hAnsi="Calibri" w:cs="Calibri"/>
          <w:b/>
          <w:u w:val="single"/>
        </w:rPr>
        <w:t>Meta de Rentabi</w:t>
      </w:r>
      <w:r>
        <w:rPr>
          <w:rFonts w:ascii="Calibri" w:hAnsi="Calibri" w:cs="Calibri"/>
          <w:b/>
          <w:u w:val="single"/>
        </w:rPr>
        <w:t>lidade do Segmento = 100% do S&amp;P 500</w:t>
      </w:r>
    </w:p>
    <w:p w14:paraId="491D0A98" w14:textId="13AF1FDE" w:rsidR="0083651B" w:rsidRDefault="0083651B" w:rsidP="00E853F7">
      <w:pPr>
        <w:rPr>
          <w:rFonts w:ascii="Calibri" w:hAnsi="Calibri" w:cs="Calibri"/>
        </w:rPr>
      </w:pPr>
    </w:p>
    <w:p w14:paraId="102A98BF" w14:textId="5DEA9ECB" w:rsidR="00D1514C" w:rsidRDefault="00D1514C" w:rsidP="000A0C86">
      <w:pPr>
        <w:pStyle w:val="Ttulo3"/>
        <w:numPr>
          <w:ilvl w:val="2"/>
          <w:numId w:val="10"/>
        </w:numPr>
      </w:pPr>
      <w:bookmarkStart w:id="11" w:name="_Toc180593257"/>
      <w:r>
        <w:t>Alocação no Segmento</w:t>
      </w:r>
      <w:r w:rsidR="000A0C86">
        <w:t xml:space="preserve"> de Investimentos Estruturados</w:t>
      </w:r>
      <w:bookmarkEnd w:id="11"/>
    </w:p>
    <w:p w14:paraId="075F5148" w14:textId="11145C00" w:rsidR="00D1514C" w:rsidRDefault="00D1514C" w:rsidP="00D1514C"/>
    <w:p w14:paraId="46BF5267" w14:textId="77777777" w:rsidR="000A0C86" w:rsidRPr="000A0C86" w:rsidRDefault="000A0C86" w:rsidP="000A0C86">
      <w:pPr>
        <w:ind w:firstLine="708"/>
        <w:jc w:val="both"/>
        <w:rPr>
          <w:rFonts w:ascii="Calibri" w:hAnsi="Calibri" w:cs="Calibri"/>
        </w:rPr>
      </w:pPr>
      <w:r w:rsidRPr="000A0C86">
        <w:rPr>
          <w:rFonts w:ascii="Calibri" w:hAnsi="Calibri" w:cs="Calibri"/>
        </w:rPr>
        <w:t>No segmento de investimentos estruturados, as aplicações dos recursos do regime próprio de previdência social subordinam-se ao limite global de até 15% (quinze por cento), e adicionalmente aos seguintes:</w:t>
      </w:r>
    </w:p>
    <w:p w14:paraId="34C91AC0" w14:textId="77777777" w:rsidR="000A0C86" w:rsidRPr="000A0C86" w:rsidRDefault="000A0C86" w:rsidP="000A0C86">
      <w:pPr>
        <w:jc w:val="both"/>
        <w:rPr>
          <w:rFonts w:ascii="Calibri" w:hAnsi="Calibri" w:cs="Calibri"/>
        </w:rPr>
      </w:pPr>
    </w:p>
    <w:p w14:paraId="22140FB8" w14:textId="37FDFC4B" w:rsidR="000A0C86" w:rsidRPr="000A0C86" w:rsidRDefault="000A0C86" w:rsidP="000A0C86">
      <w:pPr>
        <w:pStyle w:val="PargrafodaLista"/>
        <w:numPr>
          <w:ilvl w:val="0"/>
          <w:numId w:val="23"/>
        </w:numPr>
        <w:jc w:val="both"/>
        <w:rPr>
          <w:rFonts w:ascii="Calibri" w:hAnsi="Calibri" w:cs="Calibri"/>
        </w:rPr>
      </w:pPr>
      <w:r w:rsidRPr="000A0C86">
        <w:rPr>
          <w:rFonts w:ascii="Calibri" w:hAnsi="Calibri" w:cs="Calibri"/>
        </w:rPr>
        <w:t>Cotas de fundos de investimento classificados como multimercado (FIM) e em cotas de fundos de investimento em cotas de fundos de investimento classificados como multimercado (FICFIM);</w:t>
      </w:r>
    </w:p>
    <w:p w14:paraId="365B802B" w14:textId="31739129" w:rsidR="000A0C86" w:rsidRDefault="000A0C86" w:rsidP="000A0C86">
      <w:pPr>
        <w:pStyle w:val="PargrafodaLista"/>
        <w:numPr>
          <w:ilvl w:val="0"/>
          <w:numId w:val="23"/>
        </w:numPr>
        <w:jc w:val="both"/>
        <w:rPr>
          <w:rFonts w:ascii="Calibri" w:hAnsi="Calibri" w:cs="Calibri"/>
        </w:rPr>
      </w:pPr>
      <w:r w:rsidRPr="000A0C86">
        <w:rPr>
          <w:rFonts w:ascii="Calibri" w:hAnsi="Calibri" w:cs="Calibri"/>
        </w:rPr>
        <w:t>Cotas de fundos de investimento em participações (FIP), constituídos sob a forma de condomínio fechado, vedada a subscrição em distribuições de cotas subsequentes, salvo se para manter a mesma proporção já investida nesses fundos;</w:t>
      </w:r>
    </w:p>
    <w:p w14:paraId="39949A93" w14:textId="77777777" w:rsidR="000A0C86" w:rsidRPr="000A0C86" w:rsidRDefault="000A0C86" w:rsidP="000A0C86">
      <w:pPr>
        <w:jc w:val="both"/>
        <w:rPr>
          <w:rFonts w:ascii="Calibri" w:hAnsi="Calibri" w:cs="Calibri"/>
        </w:rPr>
      </w:pPr>
    </w:p>
    <w:p w14:paraId="174FE3C0" w14:textId="052CED95" w:rsidR="00090597" w:rsidRDefault="000A0C86" w:rsidP="000A0C86">
      <w:pPr>
        <w:pStyle w:val="PargrafodaLista"/>
        <w:numPr>
          <w:ilvl w:val="0"/>
          <w:numId w:val="23"/>
        </w:numPr>
        <w:jc w:val="both"/>
        <w:rPr>
          <w:rFonts w:ascii="Calibri" w:hAnsi="Calibri" w:cs="Calibri"/>
        </w:rPr>
      </w:pPr>
      <w:r w:rsidRPr="000A0C86">
        <w:rPr>
          <w:rFonts w:ascii="Calibri" w:hAnsi="Calibri" w:cs="Calibri"/>
        </w:rPr>
        <w:t>Cotas de fundos de investimento classificados como “Ações - Mercado de Acesso”, conforme regulamentação estabelecida pela Comissão de Valores Mobiliários.</w:t>
      </w:r>
    </w:p>
    <w:p w14:paraId="27A31943" w14:textId="14AB27E4" w:rsidR="000A0C86" w:rsidRDefault="000A0C86" w:rsidP="000A0C86">
      <w:pPr>
        <w:jc w:val="both"/>
        <w:rPr>
          <w:rFonts w:ascii="Calibri" w:hAnsi="Calibri" w:cs="Calibri"/>
        </w:rPr>
      </w:pPr>
    </w:p>
    <w:p w14:paraId="0526173F" w14:textId="18105DC6" w:rsidR="000A0C86" w:rsidRDefault="000A0C86" w:rsidP="000A0C86">
      <w:pPr>
        <w:jc w:val="both"/>
        <w:rPr>
          <w:rFonts w:ascii="Calibri" w:hAnsi="Calibri" w:cs="Calibri"/>
        </w:rPr>
      </w:pPr>
      <w:r w:rsidRPr="000A0C86">
        <w:rPr>
          <w:noProof/>
          <w:lang w:eastAsia="pt-BR"/>
        </w:rPr>
        <w:drawing>
          <wp:inline distT="0" distB="0" distL="0" distR="0" wp14:anchorId="71008BF9" wp14:editId="78B33658">
            <wp:extent cx="5400040" cy="831071"/>
            <wp:effectExtent l="0" t="0" r="0" b="7620"/>
            <wp:docPr id="21" name="Imagem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400040" cy="831071"/>
                    </a:xfrm>
                    <a:prstGeom prst="rect">
                      <a:avLst/>
                    </a:prstGeom>
                    <a:noFill/>
                    <a:ln>
                      <a:noFill/>
                    </a:ln>
                  </pic:spPr>
                </pic:pic>
              </a:graphicData>
            </a:graphic>
          </wp:inline>
        </w:drawing>
      </w:r>
    </w:p>
    <w:p w14:paraId="46EA26FB" w14:textId="1492A73D" w:rsidR="000A0C86" w:rsidRDefault="000A0C86" w:rsidP="000A0C86">
      <w:pPr>
        <w:jc w:val="both"/>
        <w:rPr>
          <w:rFonts w:ascii="Calibri" w:hAnsi="Calibri" w:cs="Calibri"/>
        </w:rPr>
      </w:pPr>
    </w:p>
    <w:p w14:paraId="26708A14" w14:textId="22E9FFCF" w:rsidR="000A0C86" w:rsidRDefault="000A0C86" w:rsidP="000A0C86">
      <w:pPr>
        <w:rPr>
          <w:rFonts w:ascii="Calibri" w:hAnsi="Calibri" w:cs="Calibri"/>
          <w:b/>
          <w:u w:val="single"/>
        </w:rPr>
      </w:pPr>
      <w:r w:rsidRPr="002D093A">
        <w:rPr>
          <w:rFonts w:ascii="Calibri" w:hAnsi="Calibri" w:cs="Calibri"/>
          <w:b/>
          <w:u w:val="single"/>
        </w:rPr>
        <w:t>Meta de Rentabi</w:t>
      </w:r>
      <w:r>
        <w:rPr>
          <w:rFonts w:ascii="Calibri" w:hAnsi="Calibri" w:cs="Calibri"/>
          <w:b/>
          <w:u w:val="single"/>
        </w:rPr>
        <w:t>lidade do Segmento = 100% do IHFA</w:t>
      </w:r>
    </w:p>
    <w:p w14:paraId="0607663E" w14:textId="7DD70A6B" w:rsidR="000A0C86" w:rsidRDefault="000A0C86" w:rsidP="000A0C86">
      <w:pPr>
        <w:rPr>
          <w:rFonts w:ascii="Calibri" w:hAnsi="Calibri" w:cs="Calibri"/>
          <w:b/>
          <w:u w:val="single"/>
        </w:rPr>
      </w:pPr>
    </w:p>
    <w:p w14:paraId="777FC801" w14:textId="2D7D19EE" w:rsidR="000A0C86" w:rsidRDefault="000A0C86" w:rsidP="002A4D5F">
      <w:pPr>
        <w:pStyle w:val="Ttulo3"/>
        <w:numPr>
          <w:ilvl w:val="2"/>
          <w:numId w:val="10"/>
        </w:numPr>
      </w:pPr>
      <w:bookmarkStart w:id="12" w:name="_Toc180593258"/>
      <w:r>
        <w:t>Alocação no Segmento</w:t>
      </w:r>
      <w:r w:rsidR="002A4D5F">
        <w:t xml:space="preserve"> de Fundos Imobiliários</w:t>
      </w:r>
      <w:bookmarkEnd w:id="12"/>
    </w:p>
    <w:p w14:paraId="335887EB" w14:textId="0B3616DF" w:rsidR="002A4D5F" w:rsidRDefault="002A4D5F" w:rsidP="002A4D5F"/>
    <w:p w14:paraId="351821E2" w14:textId="38B90BE6" w:rsidR="002A4D5F" w:rsidRDefault="002A4D5F" w:rsidP="002A4D5F">
      <w:pPr>
        <w:ind w:firstLine="708"/>
        <w:jc w:val="both"/>
        <w:rPr>
          <w:rFonts w:ascii="Calibri" w:hAnsi="Calibri"/>
        </w:rPr>
      </w:pPr>
      <w:r w:rsidRPr="002A4D5F">
        <w:rPr>
          <w:rFonts w:ascii="Calibri" w:hAnsi="Calibri"/>
        </w:rPr>
        <w:t>No segmento de fundos imobiliários, as aplicações dos recursos do regime próprio de previdência social sujeitam-se ao limite de até 5% (cinco por cento) em cotas de fundos de investimento imobiliários (FII) negociadas nos pregões de bolsa de valores.</w:t>
      </w:r>
    </w:p>
    <w:p w14:paraId="2E0A429C" w14:textId="112768FC" w:rsidR="002A4D5F" w:rsidRDefault="002A4D5F" w:rsidP="002A4D5F">
      <w:pPr>
        <w:jc w:val="both"/>
        <w:rPr>
          <w:rFonts w:ascii="Calibri" w:hAnsi="Calibri"/>
        </w:rPr>
      </w:pPr>
    </w:p>
    <w:p w14:paraId="2FF346D1" w14:textId="0D1A7007" w:rsidR="002A4D5F" w:rsidRDefault="002A4D5F" w:rsidP="002A4D5F">
      <w:pPr>
        <w:jc w:val="both"/>
        <w:rPr>
          <w:rFonts w:ascii="Calibri" w:hAnsi="Calibri"/>
        </w:rPr>
      </w:pPr>
      <w:r w:rsidRPr="002A4D5F">
        <w:rPr>
          <w:noProof/>
          <w:lang w:eastAsia="pt-BR"/>
        </w:rPr>
        <w:drawing>
          <wp:inline distT="0" distB="0" distL="0" distR="0" wp14:anchorId="184EB049" wp14:editId="1343F5DF">
            <wp:extent cx="5400040" cy="500837"/>
            <wp:effectExtent l="0" t="0" r="0" b="0"/>
            <wp:docPr id="22" name="Imagem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400040" cy="500837"/>
                    </a:xfrm>
                    <a:prstGeom prst="rect">
                      <a:avLst/>
                    </a:prstGeom>
                    <a:noFill/>
                    <a:ln>
                      <a:noFill/>
                    </a:ln>
                  </pic:spPr>
                </pic:pic>
              </a:graphicData>
            </a:graphic>
          </wp:inline>
        </w:drawing>
      </w:r>
    </w:p>
    <w:p w14:paraId="4A48842D" w14:textId="6A77E72F" w:rsidR="002A4D5F" w:rsidRDefault="002A4D5F" w:rsidP="002A4D5F">
      <w:pPr>
        <w:jc w:val="both"/>
        <w:rPr>
          <w:rFonts w:ascii="Calibri" w:hAnsi="Calibri"/>
        </w:rPr>
      </w:pPr>
    </w:p>
    <w:p w14:paraId="25F823EE" w14:textId="12594A39" w:rsidR="002A4D5F" w:rsidRDefault="002A4D5F" w:rsidP="002A4D5F">
      <w:pPr>
        <w:rPr>
          <w:rFonts w:ascii="Calibri" w:hAnsi="Calibri" w:cs="Calibri"/>
          <w:b/>
          <w:u w:val="single"/>
        </w:rPr>
      </w:pPr>
      <w:r w:rsidRPr="002D093A">
        <w:rPr>
          <w:rFonts w:ascii="Calibri" w:hAnsi="Calibri" w:cs="Calibri"/>
          <w:b/>
          <w:u w:val="single"/>
        </w:rPr>
        <w:t>Meta de Rentabi</w:t>
      </w:r>
      <w:r>
        <w:rPr>
          <w:rFonts w:ascii="Calibri" w:hAnsi="Calibri" w:cs="Calibri"/>
          <w:b/>
          <w:u w:val="single"/>
        </w:rPr>
        <w:t>lidade do Segmento = 100% do IFIX</w:t>
      </w:r>
    </w:p>
    <w:p w14:paraId="068130F8" w14:textId="01064A33" w:rsidR="002A4D5F" w:rsidRDefault="002A4D5F" w:rsidP="002A4D5F">
      <w:pPr>
        <w:rPr>
          <w:rFonts w:ascii="Calibri" w:hAnsi="Calibri" w:cs="Calibri"/>
          <w:b/>
          <w:u w:val="single"/>
        </w:rPr>
      </w:pPr>
    </w:p>
    <w:p w14:paraId="3F0ABD20" w14:textId="26A96A47" w:rsidR="002A4D5F" w:rsidRDefault="002A4D5F" w:rsidP="002A4D5F">
      <w:pPr>
        <w:pStyle w:val="Ttulo3"/>
        <w:numPr>
          <w:ilvl w:val="2"/>
          <w:numId w:val="10"/>
        </w:numPr>
      </w:pPr>
      <w:bookmarkStart w:id="13" w:name="_Toc180593259"/>
      <w:r>
        <w:t>Alocação no Segmento de Empréstimos Consignados</w:t>
      </w:r>
      <w:bookmarkEnd w:id="13"/>
    </w:p>
    <w:p w14:paraId="4C5EDD50" w14:textId="69636392" w:rsidR="002A4D5F" w:rsidRDefault="002A4D5F" w:rsidP="002A4D5F"/>
    <w:p w14:paraId="3E9E27B4" w14:textId="7A916F4D" w:rsidR="002A4D5F" w:rsidRPr="002A4D5F" w:rsidRDefault="002A4D5F" w:rsidP="002A4D5F">
      <w:pPr>
        <w:ind w:firstLine="708"/>
        <w:jc w:val="both"/>
        <w:rPr>
          <w:rFonts w:ascii="Calibri" w:hAnsi="Calibri"/>
        </w:rPr>
      </w:pPr>
      <w:r w:rsidRPr="002A4D5F">
        <w:rPr>
          <w:rFonts w:ascii="Calibri" w:hAnsi="Calibri"/>
        </w:rPr>
        <w:t>No segmento de empréstimos a segurados, na modalidade consignados, as aplicações dos recursos do regime próprio de previdência social subordinam-se, alternativament</w:t>
      </w:r>
      <w:r>
        <w:rPr>
          <w:rFonts w:ascii="Calibri" w:hAnsi="Calibri"/>
        </w:rPr>
        <w:t>e, aos seguintes limites:</w:t>
      </w:r>
    </w:p>
    <w:p w14:paraId="54660280" w14:textId="77777777" w:rsidR="002A4D5F" w:rsidRPr="002A4D5F" w:rsidRDefault="002A4D5F" w:rsidP="002A4D5F">
      <w:pPr>
        <w:jc w:val="both"/>
        <w:rPr>
          <w:rFonts w:ascii="Calibri" w:hAnsi="Calibri"/>
        </w:rPr>
      </w:pPr>
    </w:p>
    <w:p w14:paraId="04A735BD" w14:textId="371574A4" w:rsidR="002A4D5F" w:rsidRPr="004A2BA1" w:rsidRDefault="002A4D5F" w:rsidP="00083113">
      <w:pPr>
        <w:pStyle w:val="PargrafodaLista"/>
        <w:numPr>
          <w:ilvl w:val="0"/>
          <w:numId w:val="26"/>
        </w:numPr>
        <w:jc w:val="both"/>
        <w:rPr>
          <w:rFonts w:ascii="Calibri" w:hAnsi="Calibri"/>
        </w:rPr>
      </w:pPr>
      <w:r w:rsidRPr="004A2BA1">
        <w:rPr>
          <w:rFonts w:ascii="Calibri" w:hAnsi="Calibri"/>
        </w:rPr>
        <w:t xml:space="preserve">Até 5% (cinco por cento), para os regimes que não alcançarem os níveis de governança previstos no Pro-Gestão; </w:t>
      </w:r>
    </w:p>
    <w:p w14:paraId="24EFBADF" w14:textId="7536E237" w:rsidR="002A4D5F" w:rsidRDefault="002A4D5F" w:rsidP="002A4D5F">
      <w:pPr>
        <w:pStyle w:val="PargrafodaLista"/>
        <w:numPr>
          <w:ilvl w:val="0"/>
          <w:numId w:val="26"/>
        </w:numPr>
        <w:jc w:val="both"/>
        <w:rPr>
          <w:rFonts w:ascii="Calibri" w:hAnsi="Calibri"/>
        </w:rPr>
      </w:pPr>
      <w:r w:rsidRPr="002A4D5F">
        <w:rPr>
          <w:rFonts w:ascii="Calibri" w:hAnsi="Calibri"/>
        </w:rPr>
        <w:t>Até 10% (dez por cento), para os regimes que alcançarem ao menos o primeiro nível de governança de que trata o Pró-Gestão.</w:t>
      </w:r>
    </w:p>
    <w:p w14:paraId="55914B72" w14:textId="702E56C5" w:rsidR="002A4D5F" w:rsidRDefault="002A4D5F" w:rsidP="002A4D5F">
      <w:pPr>
        <w:jc w:val="both"/>
        <w:rPr>
          <w:rFonts w:ascii="Calibri" w:hAnsi="Calibri"/>
        </w:rPr>
      </w:pPr>
    </w:p>
    <w:p w14:paraId="3CC3AD5E" w14:textId="5A56167E" w:rsidR="002A4D5F" w:rsidRDefault="002A4D5F" w:rsidP="002A4D5F">
      <w:pPr>
        <w:ind w:firstLine="708"/>
        <w:jc w:val="both"/>
        <w:rPr>
          <w:rFonts w:ascii="Calibri" w:hAnsi="Calibri"/>
        </w:rPr>
      </w:pPr>
      <w:r>
        <w:rPr>
          <w:rFonts w:ascii="Calibri" w:hAnsi="Calibri"/>
        </w:rPr>
        <w:t xml:space="preserve">O </w:t>
      </w:r>
      <w:r w:rsidR="00020A88" w:rsidRPr="00020A88">
        <w:rPr>
          <w:rFonts w:ascii="Calibri" w:hAnsi="Calibri"/>
          <w:b/>
        </w:rPr>
        <w:t>Fundo de Previdência Social do Município de Pires do Rio/GO</w:t>
      </w:r>
      <w:r>
        <w:rPr>
          <w:rFonts w:ascii="Calibri" w:hAnsi="Calibri"/>
        </w:rPr>
        <w:t xml:space="preserve"> adotará políticas específicas na implantação da operação, especificados na Resolução CMN 4.963/21 (Artigo 12º) e Portaria MTP 1.467/22 (Artigo 154º - Instruções de Operacionalização Anexo VIII).</w:t>
      </w:r>
    </w:p>
    <w:p w14:paraId="7AF9840F" w14:textId="04B712AB" w:rsidR="00B1167A" w:rsidRDefault="00B1167A" w:rsidP="00B1167A">
      <w:pPr>
        <w:jc w:val="both"/>
        <w:rPr>
          <w:rFonts w:ascii="Calibri" w:hAnsi="Calibri"/>
        </w:rPr>
      </w:pPr>
    </w:p>
    <w:p w14:paraId="7E53D6B3" w14:textId="420E3E28" w:rsidR="00B1167A" w:rsidRDefault="00B1167A" w:rsidP="00B1167A">
      <w:pPr>
        <w:jc w:val="both"/>
        <w:rPr>
          <w:rFonts w:ascii="Calibri" w:hAnsi="Calibri"/>
        </w:rPr>
      </w:pPr>
      <w:r w:rsidRPr="00B1167A">
        <w:rPr>
          <w:noProof/>
          <w:lang w:eastAsia="pt-BR"/>
        </w:rPr>
        <w:drawing>
          <wp:inline distT="0" distB="0" distL="0" distR="0" wp14:anchorId="7E190DA6" wp14:editId="242BE451">
            <wp:extent cx="5400040" cy="500837"/>
            <wp:effectExtent l="0" t="0" r="0" b="0"/>
            <wp:docPr id="23" name="Imagem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400040" cy="500837"/>
                    </a:xfrm>
                    <a:prstGeom prst="rect">
                      <a:avLst/>
                    </a:prstGeom>
                    <a:noFill/>
                    <a:ln>
                      <a:noFill/>
                    </a:ln>
                  </pic:spPr>
                </pic:pic>
              </a:graphicData>
            </a:graphic>
          </wp:inline>
        </w:drawing>
      </w:r>
    </w:p>
    <w:p w14:paraId="3773626B" w14:textId="3368E382" w:rsidR="00B1167A" w:rsidRDefault="00B1167A" w:rsidP="00B1167A">
      <w:pPr>
        <w:jc w:val="both"/>
        <w:rPr>
          <w:rFonts w:ascii="Calibri" w:hAnsi="Calibri"/>
        </w:rPr>
      </w:pPr>
    </w:p>
    <w:p w14:paraId="42F9E161" w14:textId="60C73924" w:rsidR="00B1167A" w:rsidRDefault="00B1167A" w:rsidP="00B1167A">
      <w:pPr>
        <w:rPr>
          <w:rFonts w:ascii="Calibri" w:hAnsi="Calibri" w:cs="Calibri"/>
          <w:b/>
          <w:u w:val="single"/>
        </w:rPr>
      </w:pPr>
      <w:r w:rsidRPr="002D093A">
        <w:rPr>
          <w:rFonts w:ascii="Calibri" w:hAnsi="Calibri" w:cs="Calibri"/>
          <w:b/>
          <w:u w:val="single"/>
        </w:rPr>
        <w:t>Meta de Rentabi</w:t>
      </w:r>
      <w:r>
        <w:rPr>
          <w:rFonts w:ascii="Calibri" w:hAnsi="Calibri" w:cs="Calibri"/>
          <w:b/>
          <w:u w:val="single"/>
        </w:rPr>
        <w:t>lidade do Segmento = 130% do CDI</w:t>
      </w:r>
    </w:p>
    <w:p w14:paraId="59ECC6AB" w14:textId="77777777" w:rsidR="00B1167A" w:rsidRPr="002A4D5F" w:rsidRDefault="00B1167A" w:rsidP="00B1167A">
      <w:pPr>
        <w:jc w:val="both"/>
        <w:rPr>
          <w:rFonts w:ascii="Calibri" w:hAnsi="Calibri"/>
        </w:rPr>
      </w:pPr>
    </w:p>
    <w:p w14:paraId="69592BC4" w14:textId="163E1435" w:rsidR="002A4D5F" w:rsidRDefault="00020A88" w:rsidP="002A4D5F">
      <w:pPr>
        <w:rPr>
          <w:rFonts w:ascii="Calibri" w:hAnsi="Calibri" w:cs="Calibri"/>
          <w:b/>
          <w:u w:val="single"/>
        </w:rPr>
      </w:pPr>
      <w:r w:rsidRPr="00020A88">
        <w:rPr>
          <w:noProof/>
          <w:lang w:eastAsia="pt-BR"/>
        </w:rPr>
        <w:drawing>
          <wp:inline distT="0" distB="0" distL="0" distR="0" wp14:anchorId="14BE7717" wp14:editId="4CBD3930">
            <wp:extent cx="5400040" cy="4838766"/>
            <wp:effectExtent l="0" t="0" r="0" b="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400040" cy="4838766"/>
                    </a:xfrm>
                    <a:prstGeom prst="rect">
                      <a:avLst/>
                    </a:prstGeom>
                    <a:noFill/>
                    <a:ln>
                      <a:noFill/>
                    </a:ln>
                  </pic:spPr>
                </pic:pic>
              </a:graphicData>
            </a:graphic>
          </wp:inline>
        </w:drawing>
      </w:r>
    </w:p>
    <w:p w14:paraId="14ECDB01" w14:textId="77777777" w:rsidR="002A4D5F" w:rsidRDefault="002A4D5F" w:rsidP="002A4D5F">
      <w:pPr>
        <w:jc w:val="both"/>
        <w:rPr>
          <w:rFonts w:ascii="Calibri" w:hAnsi="Calibri"/>
        </w:rPr>
      </w:pPr>
    </w:p>
    <w:p w14:paraId="7C22C4DB" w14:textId="0DD8F8FC" w:rsidR="0082499D" w:rsidRDefault="0082499D" w:rsidP="00E853F7">
      <w:pPr>
        <w:rPr>
          <w:rFonts w:ascii="Calibri" w:hAnsi="Calibri" w:cs="Calibri"/>
        </w:rPr>
      </w:pPr>
    </w:p>
    <w:p w14:paraId="57D49BAF" w14:textId="77777777" w:rsidR="00AB18AE" w:rsidRDefault="00AB18AE" w:rsidP="00E853F7">
      <w:pPr>
        <w:rPr>
          <w:rFonts w:ascii="Calibri" w:hAnsi="Calibri" w:cs="Calibri"/>
        </w:rPr>
      </w:pPr>
    </w:p>
    <w:p w14:paraId="23536550" w14:textId="77777777" w:rsidR="00E853F7" w:rsidRDefault="00E853F7" w:rsidP="002A4D5F">
      <w:pPr>
        <w:pStyle w:val="Ttulo1"/>
        <w:numPr>
          <w:ilvl w:val="0"/>
          <w:numId w:val="10"/>
        </w:numPr>
      </w:pPr>
      <w:bookmarkStart w:id="14" w:name="_Toc180593260"/>
      <w:r>
        <w:t>META ATUARIAL</w:t>
      </w:r>
      <w:bookmarkEnd w:id="14"/>
    </w:p>
    <w:p w14:paraId="51626476" w14:textId="77777777" w:rsidR="00E853F7" w:rsidRDefault="00E853F7" w:rsidP="00E853F7">
      <w:pPr>
        <w:rPr>
          <w:rFonts w:ascii="Calibri" w:hAnsi="Calibri" w:cs="Calibri"/>
        </w:rPr>
      </w:pPr>
    </w:p>
    <w:p w14:paraId="6CC213F7" w14:textId="35DE6E49" w:rsidR="00C10033" w:rsidRPr="00C10033" w:rsidRDefault="00894607" w:rsidP="00C10033">
      <w:pPr>
        <w:ind w:firstLine="708"/>
        <w:jc w:val="both"/>
        <w:rPr>
          <w:rFonts w:ascii="Calibri" w:hAnsi="Calibri" w:cs="Calibri"/>
        </w:rPr>
      </w:pPr>
      <w:r>
        <w:rPr>
          <w:rFonts w:ascii="Calibri" w:hAnsi="Calibri" w:cs="Calibri"/>
        </w:rPr>
        <w:t>O Art. 1º, do Anexo VII, da Portaria nº 1.467, de 02 de junho de 2022</w:t>
      </w:r>
      <w:r w:rsidR="00C10033" w:rsidRPr="00C10033">
        <w:rPr>
          <w:rFonts w:ascii="Calibri" w:hAnsi="Calibri" w:cs="Calibri"/>
        </w:rPr>
        <w:t xml:space="preserve">, </w:t>
      </w:r>
      <w:r w:rsidR="00AA663C">
        <w:rPr>
          <w:rFonts w:ascii="Calibri" w:hAnsi="Calibri" w:cs="Calibri"/>
          <w:b/>
        </w:rPr>
        <w:t>alterado pela Portaria MPS nº 1.49</w:t>
      </w:r>
      <w:r w:rsidR="00B1539B" w:rsidRPr="005A71AE">
        <w:rPr>
          <w:rFonts w:ascii="Calibri" w:hAnsi="Calibri" w:cs="Calibri"/>
          <w:b/>
        </w:rPr>
        <w:t xml:space="preserve">9, </w:t>
      </w:r>
      <w:r w:rsidR="00C10033" w:rsidRPr="005A71AE">
        <w:rPr>
          <w:rFonts w:ascii="Calibri" w:hAnsi="Calibri" w:cs="Calibri"/>
          <w:b/>
        </w:rPr>
        <w:t>de</w:t>
      </w:r>
      <w:r w:rsidR="00AA663C">
        <w:rPr>
          <w:rFonts w:ascii="Calibri" w:hAnsi="Calibri" w:cs="Calibri"/>
          <w:b/>
        </w:rPr>
        <w:t xml:space="preserve"> 28 de maio de 2024</w:t>
      </w:r>
      <w:r w:rsidR="00B1539B">
        <w:rPr>
          <w:rFonts w:ascii="Calibri" w:hAnsi="Calibri" w:cs="Calibri"/>
        </w:rPr>
        <w:t xml:space="preserve">, </w:t>
      </w:r>
      <w:r w:rsidR="00C10033" w:rsidRPr="00C10033">
        <w:rPr>
          <w:rFonts w:ascii="Calibri" w:hAnsi="Calibri" w:cs="Calibri"/>
        </w:rPr>
        <w:t xml:space="preserve">monstra o critério a ser adotado para apuração da Taxa de Juros Real Anual para as Avaliações Atuariais </w:t>
      </w:r>
      <w:r w:rsidR="00AA663C">
        <w:rPr>
          <w:rFonts w:ascii="Calibri" w:hAnsi="Calibri" w:cs="Calibri"/>
        </w:rPr>
        <w:t>a partir da data base 31/12/2024</w:t>
      </w:r>
      <w:r w:rsidR="00C10033" w:rsidRPr="00C10033">
        <w:rPr>
          <w:rFonts w:ascii="Calibri" w:hAnsi="Calibri" w:cs="Calibri"/>
        </w:rPr>
        <w:t>, conforme segue:</w:t>
      </w:r>
    </w:p>
    <w:p w14:paraId="6C84CADC" w14:textId="77777777" w:rsidR="00C10033" w:rsidRPr="00C10033" w:rsidRDefault="00C10033" w:rsidP="00C10033">
      <w:pPr>
        <w:ind w:firstLine="708"/>
        <w:jc w:val="both"/>
        <w:rPr>
          <w:rFonts w:ascii="Calibri" w:hAnsi="Calibri" w:cs="Calibri"/>
        </w:rPr>
      </w:pPr>
    </w:p>
    <w:p w14:paraId="3D675BEC" w14:textId="31CE2983" w:rsidR="00C10033" w:rsidRPr="005B42BC" w:rsidRDefault="00894607" w:rsidP="00894607">
      <w:pPr>
        <w:ind w:left="1416" w:firstLine="12"/>
        <w:jc w:val="both"/>
        <w:rPr>
          <w:rFonts w:ascii="Calibri" w:hAnsi="Calibri" w:cs="Calibri"/>
          <w:i/>
          <w:sz w:val="20"/>
          <w:szCs w:val="20"/>
        </w:rPr>
      </w:pPr>
      <w:r w:rsidRPr="005B42BC">
        <w:rPr>
          <w:rFonts w:ascii="Calibri" w:hAnsi="Calibri" w:cs="Calibri"/>
          <w:i/>
          <w:sz w:val="20"/>
          <w:szCs w:val="20"/>
        </w:rPr>
        <w:t>“Art.1º</w:t>
      </w:r>
      <w:r w:rsidR="00C10033" w:rsidRPr="005B42BC">
        <w:rPr>
          <w:rFonts w:ascii="Calibri" w:hAnsi="Calibri" w:cs="Calibri"/>
          <w:i/>
          <w:sz w:val="20"/>
          <w:szCs w:val="20"/>
        </w:rPr>
        <w:t xml:space="preserve">. </w:t>
      </w:r>
      <w:r w:rsidRPr="005B42BC">
        <w:rPr>
          <w:rFonts w:ascii="Calibri" w:hAnsi="Calibri" w:cs="Calibri"/>
          <w:i/>
          <w:sz w:val="20"/>
          <w:szCs w:val="20"/>
        </w:rPr>
        <w:t>As taxas de juros parâmetro a serem utilizadas nas avaliações atuariais dos Regimes Próprios de Previdência Social - RPPS da União, dos Estados, Distrito Federal e Municípios observarão os valores anuais previstos neste Anexo, considerando a taxa cujo ponto da Estrutura a Termo de Taxa de Juros Média - ETTJ seja o mais próximo à duração do passivo do regime.</w:t>
      </w:r>
    </w:p>
    <w:p w14:paraId="0E00BD40" w14:textId="6F39C13B" w:rsidR="00C10033" w:rsidRPr="005B42BC" w:rsidRDefault="00894607" w:rsidP="00894607">
      <w:pPr>
        <w:ind w:left="1416"/>
        <w:jc w:val="both"/>
        <w:rPr>
          <w:rFonts w:ascii="Calibri" w:hAnsi="Calibri" w:cs="Calibri"/>
          <w:i/>
          <w:sz w:val="20"/>
          <w:szCs w:val="20"/>
        </w:rPr>
      </w:pPr>
      <w:r w:rsidRPr="005B42BC">
        <w:rPr>
          <w:rFonts w:ascii="Calibri" w:hAnsi="Calibri" w:cs="Calibri"/>
          <w:i/>
          <w:sz w:val="20"/>
          <w:szCs w:val="20"/>
        </w:rPr>
        <w:t xml:space="preserve">Art. 3º. </w:t>
      </w:r>
      <w:r w:rsidR="00C10033" w:rsidRPr="005B42BC">
        <w:rPr>
          <w:rFonts w:ascii="Calibri" w:hAnsi="Calibri" w:cs="Calibri"/>
          <w:i/>
          <w:sz w:val="20"/>
          <w:szCs w:val="20"/>
        </w:rPr>
        <w:t xml:space="preserve"> </w:t>
      </w:r>
      <w:r w:rsidRPr="005B42BC">
        <w:rPr>
          <w:rFonts w:ascii="Calibri" w:hAnsi="Calibri" w:cs="Calibri"/>
          <w:i/>
          <w:sz w:val="20"/>
          <w:szCs w:val="20"/>
        </w:rPr>
        <w:t xml:space="preserve">Para definição da hipótese da </w:t>
      </w:r>
      <w:r w:rsidRPr="005B42BC">
        <w:rPr>
          <w:rFonts w:ascii="Calibri" w:hAnsi="Calibri" w:cs="Calibri"/>
          <w:b/>
          <w:i/>
          <w:sz w:val="20"/>
          <w:szCs w:val="20"/>
        </w:rPr>
        <w:t xml:space="preserve">taxa de juros real nas avaliações atuariais dos exercícios a partir de 2023 </w:t>
      </w:r>
      <w:r w:rsidRPr="005B42BC">
        <w:rPr>
          <w:rFonts w:ascii="Calibri" w:hAnsi="Calibri" w:cs="Calibri"/>
          <w:i/>
          <w:sz w:val="20"/>
          <w:szCs w:val="20"/>
        </w:rPr>
        <w:t>deverão ser utilizadas as taxas de juros parâmetro estabelecidas de acordo com o art. 1º, acrescidas em 0,15 pontos percentuais para cada ano em que a taxa de juros utilizada nas avaliações atuariais dos últimos 5 (cinco) exercícios antecedentes à data focal da avaliação tiver sido alcançada pelo RPPS, limitada a 0,6 pontos percentuais.</w:t>
      </w:r>
    </w:p>
    <w:p w14:paraId="4D5843E2" w14:textId="00D6EC2D" w:rsidR="00C10033" w:rsidRPr="005B42BC" w:rsidRDefault="00894607" w:rsidP="00894607">
      <w:pPr>
        <w:ind w:left="1416"/>
        <w:jc w:val="both"/>
        <w:rPr>
          <w:rFonts w:ascii="Calibri" w:hAnsi="Calibri" w:cs="Calibri"/>
          <w:i/>
          <w:sz w:val="20"/>
          <w:szCs w:val="20"/>
        </w:rPr>
      </w:pPr>
      <w:r w:rsidRPr="005B42BC">
        <w:rPr>
          <w:rFonts w:ascii="Calibri" w:hAnsi="Calibri" w:cs="Calibri"/>
          <w:i/>
          <w:sz w:val="20"/>
          <w:szCs w:val="20"/>
        </w:rPr>
        <w:t>§ 1º. Os acréscimos de que trata o caput não se aplicam aos RPPS que possuam recursos inferiores a R$ 10.000.000,00 (dez milhões de reais) e ao Fundo em Repartição e nas demais situações de que tratam o § 4º do art. 26 desta Portaria.</w:t>
      </w:r>
    </w:p>
    <w:p w14:paraId="502F3C5C" w14:textId="65D6176E" w:rsidR="00894607" w:rsidRPr="00894607" w:rsidRDefault="00894607" w:rsidP="00894607">
      <w:pPr>
        <w:ind w:left="1416"/>
        <w:jc w:val="both"/>
        <w:rPr>
          <w:rFonts w:ascii="Calibri" w:hAnsi="Calibri" w:cs="Calibri"/>
          <w:i/>
        </w:rPr>
      </w:pPr>
      <w:r w:rsidRPr="005B42BC">
        <w:rPr>
          <w:rFonts w:ascii="Calibri" w:hAnsi="Calibri" w:cs="Calibri"/>
          <w:i/>
          <w:sz w:val="20"/>
          <w:szCs w:val="20"/>
        </w:rPr>
        <w:t xml:space="preserve">§ 2º. Deverá constar no Demonstrativo de Resultados da Avaliação Atuarial (DRAA), na tabela "Hipóteses Demográficas, Econômicas e Financeiras", em "Justificativa Técnica para Eventuais Discrepâncias em Relação a Hipótese Adotada", no campo "Projeção da Taxa de Juros Real para o Exercício" a informação relativa à utilização dos acréscimos de que trata o </w:t>
      </w:r>
      <w:r w:rsidR="000435E4" w:rsidRPr="005B42BC">
        <w:rPr>
          <w:rFonts w:ascii="Calibri" w:hAnsi="Calibri" w:cs="Calibri"/>
          <w:i/>
          <w:sz w:val="20"/>
          <w:szCs w:val="20"/>
        </w:rPr>
        <w:t>caput. ”</w:t>
      </w:r>
    </w:p>
    <w:p w14:paraId="491D1BFC" w14:textId="7BE05F8B" w:rsidR="00C10033" w:rsidRDefault="00C10033" w:rsidP="005B42BC">
      <w:pPr>
        <w:jc w:val="both"/>
        <w:rPr>
          <w:rFonts w:ascii="Calibri" w:hAnsi="Calibri" w:cs="Calibri"/>
        </w:rPr>
      </w:pPr>
    </w:p>
    <w:p w14:paraId="69BE48B6" w14:textId="303C6B3A" w:rsidR="005B42BC" w:rsidRPr="005B42BC" w:rsidRDefault="005B42BC" w:rsidP="005B42BC">
      <w:pPr>
        <w:pStyle w:val="PargrafodaLista"/>
        <w:numPr>
          <w:ilvl w:val="0"/>
          <w:numId w:val="8"/>
        </w:numPr>
        <w:jc w:val="both"/>
        <w:rPr>
          <w:rFonts w:ascii="Calibri" w:hAnsi="Calibri" w:cs="Calibri"/>
          <w:b/>
          <w:u w:val="single"/>
        </w:rPr>
      </w:pPr>
      <w:r w:rsidRPr="005B42BC">
        <w:rPr>
          <w:rFonts w:ascii="Calibri" w:hAnsi="Calibri" w:cs="Calibri"/>
          <w:b/>
          <w:u w:val="single"/>
        </w:rPr>
        <w:t>Evolução da Rentabilidade x Meta Atuarial nos Últimos 5 (cinco) anos:</w:t>
      </w:r>
    </w:p>
    <w:p w14:paraId="18EA4D11" w14:textId="20736A4B" w:rsidR="005B42BC" w:rsidRDefault="005B42BC" w:rsidP="005B42BC">
      <w:pPr>
        <w:jc w:val="both"/>
        <w:rPr>
          <w:rFonts w:ascii="Calibri" w:hAnsi="Calibri" w:cs="Calibri"/>
        </w:rPr>
      </w:pPr>
    </w:p>
    <w:p w14:paraId="06C17247" w14:textId="190CA44E" w:rsidR="005B42BC" w:rsidRDefault="005B42BC" w:rsidP="005B42BC">
      <w:pPr>
        <w:jc w:val="center"/>
        <w:rPr>
          <w:noProof/>
          <w:lang w:eastAsia="pt-BR"/>
        </w:rPr>
      </w:pPr>
    </w:p>
    <w:p w14:paraId="15080D18" w14:textId="0788AFFF" w:rsidR="00020A88" w:rsidRDefault="00020A88" w:rsidP="005B42BC">
      <w:pPr>
        <w:jc w:val="center"/>
        <w:rPr>
          <w:noProof/>
          <w:lang w:eastAsia="pt-BR"/>
        </w:rPr>
      </w:pPr>
    </w:p>
    <w:p w14:paraId="21D4783F" w14:textId="0AD6DCF1" w:rsidR="00020A88" w:rsidRDefault="00020A88" w:rsidP="005B42BC">
      <w:pPr>
        <w:jc w:val="center"/>
        <w:rPr>
          <w:noProof/>
          <w:lang w:eastAsia="pt-BR"/>
        </w:rPr>
      </w:pPr>
    </w:p>
    <w:p w14:paraId="6FE6D214" w14:textId="1BA03854" w:rsidR="00020A88" w:rsidRDefault="00020A88" w:rsidP="005B42BC">
      <w:pPr>
        <w:jc w:val="center"/>
        <w:rPr>
          <w:noProof/>
          <w:lang w:eastAsia="pt-BR"/>
        </w:rPr>
      </w:pPr>
    </w:p>
    <w:p w14:paraId="6C9DA7AF" w14:textId="77777777" w:rsidR="00020A88" w:rsidRPr="005B42BC" w:rsidRDefault="00020A88" w:rsidP="005B42BC">
      <w:pPr>
        <w:jc w:val="center"/>
        <w:rPr>
          <w:rFonts w:ascii="Calibri" w:hAnsi="Calibri" w:cs="Calibri"/>
        </w:rPr>
      </w:pPr>
    </w:p>
    <w:p w14:paraId="7446C4E1" w14:textId="77777777" w:rsidR="0088066E" w:rsidRDefault="0088066E" w:rsidP="00C10033">
      <w:pPr>
        <w:ind w:firstLine="708"/>
        <w:jc w:val="both"/>
        <w:rPr>
          <w:rFonts w:ascii="Calibri" w:hAnsi="Calibri" w:cs="Calibri"/>
        </w:rPr>
      </w:pPr>
    </w:p>
    <w:p w14:paraId="3813784F" w14:textId="62AF25B7" w:rsidR="00AA663C" w:rsidRPr="00C10033" w:rsidRDefault="00C10033" w:rsidP="00C10033">
      <w:pPr>
        <w:ind w:firstLine="708"/>
        <w:jc w:val="both"/>
        <w:rPr>
          <w:rFonts w:ascii="Calibri" w:hAnsi="Calibri" w:cs="Calibri"/>
        </w:rPr>
      </w:pPr>
      <w:r w:rsidRPr="00C10033">
        <w:rPr>
          <w:rFonts w:ascii="Calibri" w:hAnsi="Calibri" w:cs="Calibri"/>
        </w:rPr>
        <w:t>A duração do passivo corresponde à média dos prazos dos fluxos de pagamentos e benefícios do RPPS, líquidos das contribuições dos aposentados e pensionistas, ponderada pelos valores presentes desses fluxos.</w:t>
      </w:r>
    </w:p>
    <w:p w14:paraId="22C625F7" w14:textId="1EF1E854" w:rsidR="00E853F7" w:rsidRPr="00E853F7" w:rsidRDefault="00C10033" w:rsidP="00C10033">
      <w:pPr>
        <w:ind w:firstLine="708"/>
        <w:jc w:val="both"/>
        <w:rPr>
          <w:rFonts w:ascii="Calibri" w:hAnsi="Calibri" w:cs="Calibri"/>
        </w:rPr>
      </w:pPr>
      <w:r>
        <w:rPr>
          <w:rFonts w:ascii="Calibri" w:hAnsi="Calibri" w:cs="Calibri"/>
        </w:rPr>
        <w:t>Salienta-se</w:t>
      </w:r>
      <w:r w:rsidR="000435E4">
        <w:rPr>
          <w:rFonts w:ascii="Calibri" w:hAnsi="Calibri" w:cs="Calibri"/>
        </w:rPr>
        <w:t xml:space="preserve"> que a</w:t>
      </w:r>
      <w:r w:rsidRPr="00C10033">
        <w:rPr>
          <w:rFonts w:ascii="Calibri" w:hAnsi="Calibri" w:cs="Calibri"/>
        </w:rPr>
        <w:t xml:space="preserve"> Taxa Parâmetro é o LIMITE MÁXIMO que deverá constar na Política de Investimentos para o próximo exercício.</w:t>
      </w:r>
      <w:r>
        <w:rPr>
          <w:rFonts w:ascii="Calibri" w:hAnsi="Calibri" w:cs="Calibri"/>
        </w:rPr>
        <w:t xml:space="preserve"> </w:t>
      </w:r>
      <w:r w:rsidR="00E853F7" w:rsidRPr="00E853F7">
        <w:rPr>
          <w:rFonts w:ascii="Calibri" w:hAnsi="Calibri" w:cs="Calibri"/>
        </w:rPr>
        <w:t>Também chamada de meta atuarial, é a taxa de desconto utilizada no cálculo atuarial para trazer a valor presente, todos os compromissos do plano de benefícios para com seus beneficiários na linha do tempo, determinando assim o quanto de patrimônio o Regime Próprio de Previdência Social deverá possuir hoje para manter o equilíbrio atuarial.</w:t>
      </w:r>
    </w:p>
    <w:p w14:paraId="5F799235" w14:textId="6D313D23" w:rsidR="00C10033" w:rsidRDefault="00E853F7" w:rsidP="00E853F7">
      <w:pPr>
        <w:ind w:firstLine="708"/>
        <w:jc w:val="both"/>
        <w:rPr>
          <w:rFonts w:ascii="Calibri" w:hAnsi="Calibri" w:cs="Calibri"/>
        </w:rPr>
      </w:pPr>
      <w:r w:rsidRPr="00E853F7">
        <w:rPr>
          <w:rFonts w:ascii="Calibri" w:hAnsi="Calibri" w:cs="Calibri"/>
        </w:rPr>
        <w:t>Obviamente, esse equilíbrio somente será possível de se obter caso os investimentos sejam remunerados, no mínimo, por essa mesma taxa. Do contrário, ou seja, se a taxa que remunera os investimentos passe a ser inferior a taxa utilizada no cálculo atuarial, o plano de benefícios se tornará insolvente, comprometendo o pagamento das aposentadorias e pensões em algum momento no futuro.</w:t>
      </w:r>
    </w:p>
    <w:p w14:paraId="0FA545C2" w14:textId="4978AA5A" w:rsidR="00E853F7" w:rsidRDefault="00E853F7" w:rsidP="00E853F7">
      <w:pPr>
        <w:ind w:firstLine="708"/>
        <w:jc w:val="both"/>
        <w:rPr>
          <w:rFonts w:ascii="Calibri" w:hAnsi="Calibri" w:cs="Calibri"/>
        </w:rPr>
      </w:pPr>
      <w:r w:rsidRPr="000F36E0">
        <w:rPr>
          <w:rFonts w:ascii="Calibri" w:hAnsi="Calibri" w:cs="Calibri"/>
        </w:rPr>
        <w:t xml:space="preserve">Considerando a </w:t>
      </w:r>
      <w:r w:rsidR="00AA663C">
        <w:rPr>
          <w:rFonts w:ascii="Calibri" w:hAnsi="Calibri" w:cs="Calibri"/>
        </w:rPr>
        <w:t xml:space="preserve">Duração do Passivo máxima em </w:t>
      </w:r>
      <w:r w:rsidR="00020A88">
        <w:rPr>
          <w:rFonts w:ascii="Calibri" w:hAnsi="Calibri" w:cs="Calibri"/>
          <w:b/>
        </w:rPr>
        <w:t>15,14</w:t>
      </w:r>
      <w:r w:rsidR="00C10033" w:rsidRPr="00AA663C">
        <w:rPr>
          <w:rFonts w:ascii="Calibri" w:hAnsi="Calibri" w:cs="Calibri"/>
          <w:b/>
        </w:rPr>
        <w:t xml:space="preserve"> anos</w:t>
      </w:r>
      <w:r w:rsidR="00C10033" w:rsidRPr="000F36E0">
        <w:rPr>
          <w:rFonts w:ascii="Calibri" w:hAnsi="Calibri" w:cs="Calibri"/>
        </w:rPr>
        <w:t xml:space="preserve">, a meta atuarial para a </w:t>
      </w:r>
      <w:r w:rsidR="005B42BC">
        <w:rPr>
          <w:rFonts w:ascii="Calibri" w:hAnsi="Calibri" w:cs="Calibri"/>
        </w:rPr>
        <w:t>Política de Investimentos 2025</w:t>
      </w:r>
      <w:r w:rsidR="00C10033" w:rsidRPr="000F36E0">
        <w:rPr>
          <w:rFonts w:ascii="Calibri" w:hAnsi="Calibri" w:cs="Calibri"/>
        </w:rPr>
        <w:t xml:space="preserve"> será de </w:t>
      </w:r>
      <w:r w:rsidR="00E02D9E">
        <w:rPr>
          <w:rFonts w:ascii="Calibri" w:hAnsi="Calibri" w:cs="Calibri"/>
          <w:b/>
        </w:rPr>
        <w:t>5,04</w:t>
      </w:r>
      <w:r w:rsidR="00C10033" w:rsidRPr="000F36E0">
        <w:rPr>
          <w:rFonts w:ascii="Calibri" w:hAnsi="Calibri" w:cs="Calibri"/>
          <w:b/>
        </w:rPr>
        <w:t>%</w:t>
      </w:r>
      <w:r w:rsidR="00C10033" w:rsidRPr="000F36E0">
        <w:rPr>
          <w:rFonts w:ascii="Calibri" w:hAnsi="Calibri" w:cs="Calibri"/>
        </w:rPr>
        <w:t xml:space="preserve"> acrescido do </w:t>
      </w:r>
      <w:r w:rsidR="00C10033" w:rsidRPr="000F36E0">
        <w:rPr>
          <w:rFonts w:ascii="Calibri" w:hAnsi="Calibri" w:cs="Calibri"/>
          <w:b/>
        </w:rPr>
        <w:t>IPCA</w:t>
      </w:r>
      <w:r w:rsidRPr="000F36E0">
        <w:rPr>
          <w:rFonts w:ascii="Calibri" w:hAnsi="Calibri" w:cs="Calibri"/>
        </w:rPr>
        <w:t>.</w:t>
      </w:r>
    </w:p>
    <w:p w14:paraId="5271CB1D" w14:textId="1E3DB068" w:rsidR="00E853F7" w:rsidRDefault="00E853F7" w:rsidP="00E853F7">
      <w:pPr>
        <w:ind w:firstLine="708"/>
        <w:jc w:val="both"/>
        <w:rPr>
          <w:rFonts w:ascii="Calibri" w:hAnsi="Calibri" w:cs="Calibri"/>
        </w:rPr>
      </w:pPr>
      <w:r w:rsidRPr="00E853F7">
        <w:rPr>
          <w:rFonts w:ascii="Calibri" w:hAnsi="Calibri" w:cs="Calibri"/>
        </w:rPr>
        <w:t xml:space="preserve">Ainda assim, o </w:t>
      </w:r>
      <w:r w:rsidR="00020A88" w:rsidRPr="00020A88">
        <w:rPr>
          <w:rFonts w:ascii="Calibri" w:hAnsi="Calibri" w:cs="Calibri"/>
          <w:b/>
        </w:rPr>
        <w:t>Fundo de Previdência Social do Município de Pires do Rio/GO</w:t>
      </w:r>
      <w:r>
        <w:rPr>
          <w:rFonts w:ascii="Calibri" w:hAnsi="Calibri" w:cs="Calibri"/>
          <w:b/>
        </w:rPr>
        <w:t xml:space="preserve"> </w:t>
      </w:r>
      <w:r w:rsidRPr="00E853F7">
        <w:rPr>
          <w:rFonts w:ascii="Calibri" w:hAnsi="Calibri" w:cs="Calibri"/>
        </w:rPr>
        <w:t>avaliará a execução de estudos que evidenciem, no longo prazo, qual a real situação financeiro-atuarial do plano de benefícios previdenciários.</w:t>
      </w:r>
      <w:bookmarkStart w:id="15" w:name="_GoBack"/>
      <w:bookmarkEnd w:id="15"/>
    </w:p>
    <w:p w14:paraId="7289F4BE" w14:textId="77777777" w:rsidR="00E853F7" w:rsidRDefault="00E853F7" w:rsidP="00E853F7">
      <w:pPr>
        <w:jc w:val="both"/>
        <w:rPr>
          <w:rFonts w:ascii="Calibri" w:hAnsi="Calibri" w:cs="Calibri"/>
        </w:rPr>
      </w:pPr>
    </w:p>
    <w:p w14:paraId="317F1BBA" w14:textId="77777777" w:rsidR="001F2FFC" w:rsidRDefault="001F2FFC" w:rsidP="00E853F7">
      <w:pPr>
        <w:jc w:val="both"/>
        <w:rPr>
          <w:rFonts w:ascii="Calibri" w:hAnsi="Calibri" w:cs="Calibri"/>
        </w:rPr>
      </w:pPr>
    </w:p>
    <w:p w14:paraId="74578E67" w14:textId="77777777" w:rsidR="001F2FFC" w:rsidRDefault="001F2FFC" w:rsidP="00E853F7">
      <w:pPr>
        <w:jc w:val="both"/>
        <w:rPr>
          <w:rFonts w:ascii="Calibri" w:hAnsi="Calibri" w:cs="Calibri"/>
        </w:rPr>
      </w:pPr>
    </w:p>
    <w:p w14:paraId="5DFEEB78" w14:textId="77777777" w:rsidR="001F2FFC" w:rsidRDefault="001F2FFC" w:rsidP="00E853F7">
      <w:pPr>
        <w:jc w:val="both"/>
        <w:rPr>
          <w:rFonts w:ascii="Calibri" w:hAnsi="Calibri" w:cs="Calibri"/>
        </w:rPr>
      </w:pPr>
    </w:p>
    <w:p w14:paraId="179C43B9" w14:textId="77777777" w:rsidR="001F2FFC" w:rsidRDefault="001F2FFC" w:rsidP="00E853F7">
      <w:pPr>
        <w:jc w:val="both"/>
        <w:rPr>
          <w:rFonts w:ascii="Calibri" w:hAnsi="Calibri" w:cs="Calibri"/>
        </w:rPr>
      </w:pPr>
    </w:p>
    <w:p w14:paraId="60DEBD9D" w14:textId="77777777" w:rsidR="001F2FFC" w:rsidRDefault="001F2FFC" w:rsidP="00E853F7">
      <w:pPr>
        <w:jc w:val="both"/>
        <w:rPr>
          <w:rFonts w:ascii="Calibri" w:hAnsi="Calibri" w:cs="Calibri"/>
        </w:rPr>
      </w:pPr>
    </w:p>
    <w:p w14:paraId="5C1D0CB8" w14:textId="77777777" w:rsidR="001F2FFC" w:rsidRDefault="001F2FFC" w:rsidP="00E853F7">
      <w:pPr>
        <w:jc w:val="both"/>
        <w:rPr>
          <w:rFonts w:ascii="Calibri" w:hAnsi="Calibri" w:cs="Calibri"/>
        </w:rPr>
      </w:pPr>
    </w:p>
    <w:p w14:paraId="617DE321" w14:textId="77777777" w:rsidR="001F2FFC" w:rsidRDefault="001F2FFC" w:rsidP="00E853F7">
      <w:pPr>
        <w:jc w:val="both"/>
        <w:rPr>
          <w:rFonts w:ascii="Calibri" w:hAnsi="Calibri" w:cs="Calibri"/>
        </w:rPr>
      </w:pPr>
    </w:p>
    <w:p w14:paraId="357F6598" w14:textId="77777777" w:rsidR="001F2FFC" w:rsidRDefault="001F2FFC" w:rsidP="00E853F7">
      <w:pPr>
        <w:jc w:val="both"/>
        <w:rPr>
          <w:rFonts w:ascii="Calibri" w:hAnsi="Calibri" w:cs="Calibri"/>
        </w:rPr>
      </w:pPr>
    </w:p>
    <w:p w14:paraId="736954AD" w14:textId="77777777" w:rsidR="001F2FFC" w:rsidRDefault="001F2FFC" w:rsidP="00E853F7">
      <w:pPr>
        <w:jc w:val="both"/>
        <w:rPr>
          <w:rFonts w:ascii="Calibri" w:hAnsi="Calibri" w:cs="Calibri"/>
        </w:rPr>
      </w:pPr>
    </w:p>
    <w:p w14:paraId="0DE4B356" w14:textId="77777777" w:rsidR="00C10033" w:rsidRDefault="00C10033" w:rsidP="00E853F7">
      <w:pPr>
        <w:jc w:val="both"/>
        <w:rPr>
          <w:rFonts w:ascii="Calibri" w:hAnsi="Calibri" w:cs="Calibri"/>
        </w:rPr>
      </w:pPr>
    </w:p>
    <w:p w14:paraId="19C0B1F4" w14:textId="727097C9" w:rsidR="00C10033" w:rsidRDefault="00C10033" w:rsidP="00E853F7">
      <w:pPr>
        <w:jc w:val="both"/>
        <w:rPr>
          <w:rFonts w:ascii="Calibri" w:hAnsi="Calibri" w:cs="Calibri"/>
        </w:rPr>
      </w:pPr>
    </w:p>
    <w:p w14:paraId="10778A9A" w14:textId="77777777" w:rsidR="00C10033" w:rsidRDefault="00C10033" w:rsidP="00E853F7">
      <w:pPr>
        <w:jc w:val="both"/>
        <w:rPr>
          <w:rFonts w:ascii="Calibri" w:hAnsi="Calibri" w:cs="Calibri"/>
        </w:rPr>
      </w:pPr>
    </w:p>
    <w:p w14:paraId="2AE27699" w14:textId="77777777" w:rsidR="00E853F7" w:rsidRDefault="00E853F7" w:rsidP="002A4D5F">
      <w:pPr>
        <w:pStyle w:val="Ttulo1"/>
        <w:numPr>
          <w:ilvl w:val="0"/>
          <w:numId w:val="10"/>
        </w:numPr>
      </w:pPr>
      <w:bookmarkStart w:id="16" w:name="_Toc180593261"/>
      <w:r>
        <w:t>ESTRUTURA DE GESTÃO DOS ATIVOS</w:t>
      </w:r>
      <w:bookmarkEnd w:id="16"/>
    </w:p>
    <w:p w14:paraId="4CEC87E6" w14:textId="77777777" w:rsidR="00E853F7" w:rsidRDefault="00E853F7" w:rsidP="00E853F7">
      <w:pPr>
        <w:jc w:val="both"/>
        <w:rPr>
          <w:rFonts w:ascii="Calibri" w:hAnsi="Calibri" w:cs="Calibri"/>
        </w:rPr>
      </w:pPr>
    </w:p>
    <w:p w14:paraId="292664DD" w14:textId="6B0B4F95" w:rsidR="00E853F7" w:rsidRPr="00E853F7" w:rsidRDefault="00E853F7" w:rsidP="00692816">
      <w:pPr>
        <w:ind w:firstLine="708"/>
        <w:jc w:val="both"/>
        <w:rPr>
          <w:rFonts w:ascii="Calibri" w:hAnsi="Calibri" w:cs="Calibri"/>
        </w:rPr>
      </w:pPr>
      <w:r w:rsidRPr="00E853F7">
        <w:rPr>
          <w:rFonts w:ascii="Calibri" w:hAnsi="Calibri" w:cs="Calibri"/>
        </w:rPr>
        <w:t xml:space="preserve">De acordo com as hipóteses previstas na Resolução CMN nº </w:t>
      </w:r>
      <w:r w:rsidR="00853F72">
        <w:rPr>
          <w:rFonts w:ascii="Calibri" w:hAnsi="Calibri" w:cs="Calibri"/>
        </w:rPr>
        <w:t>4.963/2021</w:t>
      </w:r>
      <w:r w:rsidRPr="00E853F7">
        <w:rPr>
          <w:rFonts w:ascii="Calibri" w:hAnsi="Calibri" w:cs="Calibri"/>
        </w:rPr>
        <w:t>, a aplicação dos ativos será realizada por gestão própria, terceirizada ou mista.</w:t>
      </w:r>
    </w:p>
    <w:p w14:paraId="40F831C0" w14:textId="79E6BF59" w:rsidR="00E853F7" w:rsidRDefault="00E853F7" w:rsidP="00692816">
      <w:pPr>
        <w:ind w:firstLine="708"/>
        <w:jc w:val="both"/>
        <w:rPr>
          <w:rFonts w:ascii="Calibri" w:hAnsi="Calibri" w:cs="Calibri"/>
        </w:rPr>
      </w:pPr>
      <w:r w:rsidRPr="00E853F7">
        <w:rPr>
          <w:rFonts w:ascii="Calibri" w:hAnsi="Calibri" w:cs="Calibri"/>
        </w:rPr>
        <w:t xml:space="preserve">Para a vigência desta Política de Investimentos, a gestão das aplicações dos recursos do </w:t>
      </w:r>
      <w:r w:rsidR="0009034C" w:rsidRPr="0009034C">
        <w:rPr>
          <w:rFonts w:ascii="Calibri" w:hAnsi="Calibri" w:cs="Calibri"/>
          <w:b/>
        </w:rPr>
        <w:t>Fundo de Previdência Social do Município de Pires do Rio/GO</w:t>
      </w:r>
      <w:r w:rsidR="001833AA" w:rsidRPr="001833AA">
        <w:rPr>
          <w:rFonts w:ascii="Calibri" w:hAnsi="Calibri" w:cs="Calibri"/>
          <w:b/>
        </w:rPr>
        <w:t xml:space="preserve"> </w:t>
      </w:r>
      <w:r w:rsidRPr="00E853F7">
        <w:rPr>
          <w:rFonts w:ascii="Calibri" w:hAnsi="Calibri" w:cs="Calibri"/>
        </w:rPr>
        <w:t>será própria.</w:t>
      </w:r>
    </w:p>
    <w:p w14:paraId="0C9966D3" w14:textId="77777777" w:rsidR="00692816" w:rsidRDefault="00692816" w:rsidP="00692816">
      <w:pPr>
        <w:jc w:val="both"/>
        <w:rPr>
          <w:rFonts w:ascii="Calibri" w:hAnsi="Calibri" w:cs="Calibri"/>
        </w:rPr>
      </w:pPr>
    </w:p>
    <w:p w14:paraId="740A587C" w14:textId="4C8A1B8A" w:rsidR="00692816" w:rsidRDefault="00692816" w:rsidP="0051199B">
      <w:pPr>
        <w:pStyle w:val="Ttulo2"/>
        <w:numPr>
          <w:ilvl w:val="1"/>
          <w:numId w:val="10"/>
        </w:numPr>
      </w:pPr>
      <w:bookmarkStart w:id="17" w:name="_Toc180593262"/>
      <w:r>
        <w:t>Gestão Própria</w:t>
      </w:r>
      <w:bookmarkEnd w:id="17"/>
    </w:p>
    <w:p w14:paraId="4BF170DA" w14:textId="77777777" w:rsidR="00692816" w:rsidRDefault="00692816" w:rsidP="00692816">
      <w:pPr>
        <w:jc w:val="both"/>
        <w:rPr>
          <w:rFonts w:ascii="Calibri" w:hAnsi="Calibri" w:cs="Calibri"/>
        </w:rPr>
      </w:pPr>
    </w:p>
    <w:p w14:paraId="088332F1" w14:textId="2BC20554" w:rsidR="00692816" w:rsidRPr="00692816" w:rsidRDefault="00692816" w:rsidP="00692816">
      <w:pPr>
        <w:ind w:firstLine="708"/>
        <w:jc w:val="both"/>
        <w:rPr>
          <w:rFonts w:ascii="Calibri" w:hAnsi="Calibri" w:cs="Calibri"/>
        </w:rPr>
      </w:pPr>
      <w:r w:rsidRPr="00692816">
        <w:rPr>
          <w:rFonts w:ascii="Calibri" w:hAnsi="Calibri" w:cs="Calibri"/>
        </w:rPr>
        <w:t xml:space="preserve">A adoção deste modelo de gestão significa que o total dos recursos ficará sob a responsabilidade do RPPS, com profissionais qualificados e certificados por entidade de certificação reconhecida pelo </w:t>
      </w:r>
      <w:r w:rsidR="000435E4">
        <w:rPr>
          <w:rFonts w:ascii="Calibri" w:hAnsi="Calibri" w:cs="Calibri"/>
        </w:rPr>
        <w:t>Ministério do Trabalho e Previdência</w:t>
      </w:r>
      <w:r w:rsidRPr="00692816">
        <w:rPr>
          <w:rFonts w:ascii="Calibri" w:hAnsi="Calibri" w:cs="Calibri"/>
        </w:rPr>
        <w:t>, co</w:t>
      </w:r>
      <w:r w:rsidR="000435E4">
        <w:rPr>
          <w:rFonts w:ascii="Calibri" w:hAnsi="Calibri" w:cs="Calibri"/>
        </w:rPr>
        <w:t>nforme exigência da Portaria MTP nº 1.467, de 02 de junho de 2022</w:t>
      </w:r>
      <w:r w:rsidRPr="00692816">
        <w:rPr>
          <w:rFonts w:ascii="Calibri" w:hAnsi="Calibri" w:cs="Calibri"/>
        </w:rPr>
        <w:t>, e contará com Comitê de Investimentos como órgão participativo do processo de análise, com o objetivo de gerenciar a aplicação de recursos conjuntamente com a Diretoria Executiva, escolhendo os ativos, delimitando os níveis de riscos, estabelecendo os prazos para as aplicações, sendo obrigatório o Credenciamento de administradores e gestores de fundos de investimentos junto ao RPPS.</w:t>
      </w:r>
    </w:p>
    <w:p w14:paraId="2C45EF90" w14:textId="70B32DCA" w:rsidR="00692816" w:rsidRPr="00692816" w:rsidRDefault="00692816" w:rsidP="00692816">
      <w:pPr>
        <w:ind w:firstLine="708"/>
        <w:jc w:val="both"/>
        <w:rPr>
          <w:rFonts w:ascii="Calibri" w:hAnsi="Calibri" w:cs="Calibri"/>
        </w:rPr>
      </w:pPr>
      <w:r w:rsidRPr="00692816">
        <w:rPr>
          <w:rFonts w:ascii="Calibri" w:hAnsi="Calibri" w:cs="Calibri"/>
        </w:rPr>
        <w:t>O RPPS tem ainda a prerrogativa da contratação de empresa de consultoria, de acordo com os critérios estabel</w:t>
      </w:r>
      <w:r w:rsidR="00853F72">
        <w:rPr>
          <w:rFonts w:ascii="Calibri" w:hAnsi="Calibri" w:cs="Calibri"/>
        </w:rPr>
        <w:t>ecidos na Resolução CMN nº 4.963/2021</w:t>
      </w:r>
      <w:r w:rsidRPr="00692816">
        <w:rPr>
          <w:rFonts w:ascii="Calibri" w:hAnsi="Calibri" w:cs="Calibri"/>
        </w:rPr>
        <w:t>, para prestar assessoramento às aplicações de recursos.</w:t>
      </w:r>
    </w:p>
    <w:p w14:paraId="12044101" w14:textId="77777777" w:rsidR="00692816" w:rsidRDefault="00692816" w:rsidP="00692816">
      <w:pPr>
        <w:ind w:firstLine="708"/>
        <w:jc w:val="both"/>
        <w:rPr>
          <w:rFonts w:ascii="Calibri" w:hAnsi="Calibri" w:cs="Calibri"/>
        </w:rPr>
      </w:pPr>
      <w:r w:rsidRPr="00692816">
        <w:rPr>
          <w:rFonts w:ascii="Calibri" w:hAnsi="Calibri" w:cs="Calibri"/>
        </w:rPr>
        <w:t>Fica condicionado a contratação de empresa de consultoria a não receber qualquer remuneração, benefício ou vantagem que potencialmente prejudiquem a independência na prestação de serviço, bem como não figure como emissor de ativos ou atue na origem e estruturação de produtos de investimentos.</w:t>
      </w:r>
    </w:p>
    <w:p w14:paraId="483E8719" w14:textId="77777777" w:rsidR="00692816" w:rsidRDefault="00692816" w:rsidP="00692816">
      <w:pPr>
        <w:jc w:val="both"/>
        <w:rPr>
          <w:rFonts w:ascii="Calibri" w:hAnsi="Calibri" w:cs="Calibri"/>
        </w:rPr>
      </w:pPr>
    </w:p>
    <w:p w14:paraId="21D1ABB7" w14:textId="7428BD65" w:rsidR="00692816" w:rsidRDefault="00692816" w:rsidP="0051199B">
      <w:pPr>
        <w:pStyle w:val="Ttulo2"/>
        <w:numPr>
          <w:ilvl w:val="1"/>
          <w:numId w:val="10"/>
        </w:numPr>
      </w:pPr>
      <w:bookmarkStart w:id="18" w:name="_Toc180593263"/>
      <w:r>
        <w:t>Órgãos de Execução</w:t>
      </w:r>
      <w:bookmarkEnd w:id="18"/>
    </w:p>
    <w:p w14:paraId="03B558F6" w14:textId="77777777" w:rsidR="00692816" w:rsidRDefault="00692816" w:rsidP="00692816">
      <w:pPr>
        <w:jc w:val="both"/>
        <w:rPr>
          <w:rFonts w:ascii="Calibri" w:hAnsi="Calibri" w:cs="Calibri"/>
        </w:rPr>
      </w:pPr>
    </w:p>
    <w:p w14:paraId="5F2281CC" w14:textId="7F4A3A33" w:rsidR="00692816" w:rsidRPr="00692816" w:rsidRDefault="00692816" w:rsidP="00422F84">
      <w:pPr>
        <w:ind w:firstLine="708"/>
        <w:jc w:val="both"/>
        <w:rPr>
          <w:rFonts w:ascii="Calibri" w:hAnsi="Calibri" w:cs="Calibri"/>
        </w:rPr>
      </w:pPr>
      <w:r w:rsidRPr="00692816">
        <w:rPr>
          <w:rFonts w:ascii="Calibri" w:hAnsi="Calibri" w:cs="Calibri"/>
        </w:rPr>
        <w:t xml:space="preserve">Compete ao Comitê de Investimentos a elaboração da Política de Investimento, que deve submetê-la para aprovação </w:t>
      </w:r>
      <w:r w:rsidR="00D64130">
        <w:rPr>
          <w:rFonts w:ascii="Calibri" w:hAnsi="Calibri" w:cs="Calibri"/>
        </w:rPr>
        <w:t>do</w:t>
      </w:r>
      <w:r w:rsidRPr="00692816">
        <w:rPr>
          <w:rFonts w:ascii="Calibri" w:hAnsi="Calibri" w:cs="Calibri"/>
        </w:rPr>
        <w:t xml:space="preserve"> órgão</w:t>
      </w:r>
      <w:r w:rsidR="00422F84" w:rsidRPr="00840B67">
        <w:rPr>
          <w:rFonts w:ascii="Calibri" w:hAnsi="Calibri" w:cs="Calibri"/>
        </w:rPr>
        <w:t xml:space="preserve"> </w:t>
      </w:r>
      <w:r w:rsidR="00422F84">
        <w:rPr>
          <w:rFonts w:ascii="Calibri" w:hAnsi="Calibri" w:cs="Calibri"/>
        </w:rPr>
        <w:t xml:space="preserve">de deliberação colegiada </w:t>
      </w:r>
      <w:r w:rsidR="00422F84" w:rsidRPr="00840B67">
        <w:rPr>
          <w:rFonts w:ascii="Calibri" w:hAnsi="Calibri" w:cs="Calibri"/>
        </w:rPr>
        <w:t>competente</w:t>
      </w:r>
      <w:r w:rsidRPr="00692816">
        <w:rPr>
          <w:rFonts w:ascii="Calibri" w:hAnsi="Calibri" w:cs="Calibri"/>
        </w:rPr>
        <w:t xml:space="preserve"> para definições estratégicas do RPPS. Essa estrutura garante a demonstração da segregação de funções adotadas pelos órgãos de execução, estando em linha com as práticas de mercado para uma boa governança corporativa.</w:t>
      </w:r>
    </w:p>
    <w:p w14:paraId="49DA644C" w14:textId="77777777" w:rsidR="001F2FFC" w:rsidRDefault="001F2FFC" w:rsidP="00692816">
      <w:pPr>
        <w:ind w:firstLine="708"/>
        <w:jc w:val="both"/>
        <w:rPr>
          <w:rFonts w:ascii="Calibri" w:hAnsi="Calibri" w:cs="Calibri"/>
        </w:rPr>
      </w:pPr>
    </w:p>
    <w:p w14:paraId="5A4694BE" w14:textId="77777777" w:rsidR="001F2FFC" w:rsidRDefault="001F2FFC" w:rsidP="00692816">
      <w:pPr>
        <w:ind w:firstLine="708"/>
        <w:jc w:val="both"/>
        <w:rPr>
          <w:rFonts w:ascii="Calibri" w:hAnsi="Calibri" w:cs="Calibri"/>
        </w:rPr>
      </w:pPr>
    </w:p>
    <w:p w14:paraId="06A87158" w14:textId="77777777" w:rsidR="00692816" w:rsidRDefault="00692816" w:rsidP="002A4D5F">
      <w:pPr>
        <w:pStyle w:val="Ttulo1"/>
        <w:numPr>
          <w:ilvl w:val="0"/>
          <w:numId w:val="10"/>
        </w:numPr>
      </w:pPr>
      <w:bookmarkStart w:id="19" w:name="_Toc180593264"/>
      <w:r>
        <w:t>CONTROLE DE RISCO</w:t>
      </w:r>
      <w:bookmarkEnd w:id="19"/>
    </w:p>
    <w:p w14:paraId="0710F458" w14:textId="77777777" w:rsidR="00692816" w:rsidRDefault="00692816" w:rsidP="00692816">
      <w:pPr>
        <w:jc w:val="both"/>
        <w:rPr>
          <w:rFonts w:ascii="Calibri" w:hAnsi="Calibri" w:cs="Calibri"/>
        </w:rPr>
      </w:pPr>
    </w:p>
    <w:p w14:paraId="307A905D" w14:textId="77777777" w:rsidR="00692816" w:rsidRDefault="00692816" w:rsidP="00692816">
      <w:pPr>
        <w:ind w:firstLine="708"/>
        <w:jc w:val="both"/>
        <w:rPr>
          <w:rFonts w:ascii="Calibri" w:hAnsi="Calibri" w:cs="Calibri"/>
        </w:rPr>
      </w:pPr>
      <w:r w:rsidRPr="00692816">
        <w:rPr>
          <w:rFonts w:ascii="Calibri" w:hAnsi="Calibri" w:cs="Calibri"/>
        </w:rPr>
        <w:t>É relevante mencionar que qualquer aplicação financeira estará sujeita à incidência de fatores de risco que podem afetar adversamente o seu retorno, entre eles:</w:t>
      </w:r>
    </w:p>
    <w:p w14:paraId="690102B2" w14:textId="77777777" w:rsidR="00692816" w:rsidRPr="00692816" w:rsidRDefault="00692816" w:rsidP="00692816">
      <w:pPr>
        <w:ind w:firstLine="708"/>
        <w:jc w:val="both"/>
        <w:rPr>
          <w:rFonts w:ascii="Calibri" w:hAnsi="Calibri" w:cs="Calibri"/>
        </w:rPr>
      </w:pPr>
    </w:p>
    <w:p w14:paraId="66D1485E" w14:textId="77777777" w:rsidR="00692816" w:rsidRPr="00692816" w:rsidRDefault="00692816" w:rsidP="00692816">
      <w:pPr>
        <w:pStyle w:val="PargrafodaLista"/>
        <w:numPr>
          <w:ilvl w:val="0"/>
          <w:numId w:val="8"/>
        </w:numPr>
        <w:jc w:val="both"/>
        <w:rPr>
          <w:rFonts w:ascii="Calibri" w:hAnsi="Calibri" w:cs="Calibri"/>
        </w:rPr>
      </w:pPr>
      <w:r w:rsidRPr="00692816">
        <w:rPr>
          <w:rFonts w:ascii="Calibri" w:hAnsi="Calibri" w:cs="Calibri"/>
        </w:rPr>
        <w:t>Risco de Mercado – é o risco inerente a todas as modalidades de aplicações financeiras disponíveis no mercado financeiro; corresponde à incerteza em relação ao resultado de um investimento financeiro ou de uma carteira de investimento, em decorrência de mudanças futuras nas condições de mercado. É o risco de variações, oscilações nas taxas e preços de mercado, tais como taxa de juros, preços de ações e outros índices. É ligado às oscilações do mercado financeiro.</w:t>
      </w:r>
    </w:p>
    <w:p w14:paraId="05D238F6" w14:textId="77777777" w:rsidR="00692816" w:rsidRPr="00692816" w:rsidRDefault="00692816" w:rsidP="00692816">
      <w:pPr>
        <w:pStyle w:val="PargrafodaLista"/>
        <w:numPr>
          <w:ilvl w:val="0"/>
          <w:numId w:val="8"/>
        </w:numPr>
        <w:jc w:val="both"/>
        <w:rPr>
          <w:rFonts w:ascii="Calibri" w:hAnsi="Calibri" w:cs="Calibri"/>
        </w:rPr>
      </w:pPr>
      <w:r w:rsidRPr="00692816">
        <w:rPr>
          <w:rFonts w:ascii="Calibri" w:hAnsi="Calibri" w:cs="Calibri"/>
        </w:rPr>
        <w:t>Risco de Crédito - também conhecido como risco institucional ou de contraparte, é aquele em que há a possibilidade de o retorno de investimento não ser honrado pela instituição que emitiu determinado título, na data e nas condições negociadas e contratadas;</w:t>
      </w:r>
    </w:p>
    <w:p w14:paraId="6CDFDDAD" w14:textId="77777777" w:rsidR="00692816" w:rsidRDefault="00692816" w:rsidP="00692816">
      <w:pPr>
        <w:pStyle w:val="PargrafodaLista"/>
        <w:numPr>
          <w:ilvl w:val="0"/>
          <w:numId w:val="8"/>
        </w:numPr>
        <w:jc w:val="both"/>
        <w:rPr>
          <w:rFonts w:ascii="Calibri" w:hAnsi="Calibri" w:cs="Calibri"/>
        </w:rPr>
      </w:pPr>
      <w:r w:rsidRPr="00692816">
        <w:rPr>
          <w:rFonts w:ascii="Calibri" w:hAnsi="Calibri" w:cs="Calibri"/>
        </w:rPr>
        <w:t>Risco de Liquidez - surge da dificuldade em se conseguir encontrar compradores potenciais de um determinado ativo no momento e no preço desejado. Ocorre quando um ativo está com baixo volume de negócios e apresenta grandes diferenças entre o preço que o comprador está disposto a pagar (oferta de compra) e aquele que o vendedor gostaria de vender (oferta de venda). Quando é necessário vender algum ativo num mercado ilíquido, tende a ser difícil conseguir realizar a venda sem sacrificar o preço do ativo negociado.</w:t>
      </w:r>
    </w:p>
    <w:p w14:paraId="63482B69" w14:textId="77777777" w:rsidR="00692816" w:rsidRDefault="00692816" w:rsidP="00692816">
      <w:pPr>
        <w:jc w:val="both"/>
        <w:rPr>
          <w:rFonts w:ascii="Calibri" w:hAnsi="Calibri" w:cs="Calibri"/>
        </w:rPr>
      </w:pPr>
    </w:p>
    <w:p w14:paraId="62B634D5" w14:textId="4AAB8006" w:rsidR="00692816" w:rsidRDefault="00692816" w:rsidP="00AA1826">
      <w:pPr>
        <w:pStyle w:val="Ttulo2"/>
        <w:numPr>
          <w:ilvl w:val="1"/>
          <w:numId w:val="10"/>
        </w:numPr>
      </w:pPr>
      <w:bookmarkStart w:id="20" w:name="_Toc180593265"/>
      <w:r>
        <w:t>Controle de Risco de Mercado</w:t>
      </w:r>
      <w:bookmarkEnd w:id="20"/>
    </w:p>
    <w:p w14:paraId="0315B97B" w14:textId="77777777" w:rsidR="00692816" w:rsidRDefault="00692816" w:rsidP="00692816">
      <w:pPr>
        <w:jc w:val="both"/>
        <w:rPr>
          <w:rFonts w:ascii="Calibri" w:hAnsi="Calibri" w:cs="Calibri"/>
        </w:rPr>
      </w:pPr>
    </w:p>
    <w:p w14:paraId="73795EF3" w14:textId="77777777" w:rsidR="00692816" w:rsidRPr="00692816" w:rsidRDefault="00692816" w:rsidP="00692816">
      <w:pPr>
        <w:ind w:firstLine="708"/>
        <w:jc w:val="both"/>
        <w:rPr>
          <w:rFonts w:ascii="Calibri" w:hAnsi="Calibri" w:cs="Calibri"/>
        </w:rPr>
      </w:pPr>
      <w:r w:rsidRPr="00692816">
        <w:rPr>
          <w:rFonts w:ascii="Calibri" w:hAnsi="Calibri" w:cs="Calibri"/>
        </w:rPr>
        <w:t xml:space="preserve">O RPPS adota o VaR - Value-at-Risk para controle do risco de mercado, utilizando os seguintes parâmetros para o cálculo do mesmo: </w:t>
      </w:r>
    </w:p>
    <w:p w14:paraId="123C841F" w14:textId="77777777" w:rsidR="00692816" w:rsidRPr="00692816" w:rsidRDefault="00692816" w:rsidP="00692816">
      <w:pPr>
        <w:pStyle w:val="PargrafodaLista"/>
        <w:numPr>
          <w:ilvl w:val="0"/>
          <w:numId w:val="8"/>
        </w:numPr>
        <w:jc w:val="both"/>
        <w:rPr>
          <w:rFonts w:ascii="Calibri" w:hAnsi="Calibri" w:cs="Calibri"/>
        </w:rPr>
      </w:pPr>
      <w:r w:rsidRPr="00692816">
        <w:rPr>
          <w:rFonts w:ascii="Calibri" w:hAnsi="Calibri" w:cs="Calibri"/>
        </w:rPr>
        <w:t>Modelo paramétrico;</w:t>
      </w:r>
    </w:p>
    <w:p w14:paraId="36A55CC6" w14:textId="77777777" w:rsidR="00692816" w:rsidRPr="00692816" w:rsidRDefault="00692816" w:rsidP="00692816">
      <w:pPr>
        <w:pStyle w:val="PargrafodaLista"/>
        <w:numPr>
          <w:ilvl w:val="0"/>
          <w:numId w:val="8"/>
        </w:numPr>
        <w:jc w:val="both"/>
        <w:rPr>
          <w:rFonts w:ascii="Calibri" w:hAnsi="Calibri" w:cs="Calibri"/>
        </w:rPr>
      </w:pPr>
      <w:r w:rsidRPr="00692816">
        <w:rPr>
          <w:rFonts w:ascii="Calibri" w:hAnsi="Calibri" w:cs="Calibri"/>
        </w:rPr>
        <w:t>Intervalo de confiança de 95% (noventa e cinco por cento);</w:t>
      </w:r>
    </w:p>
    <w:p w14:paraId="00E4E4A9" w14:textId="77777777" w:rsidR="00692816" w:rsidRDefault="00692816" w:rsidP="00692816">
      <w:pPr>
        <w:pStyle w:val="PargrafodaLista"/>
        <w:numPr>
          <w:ilvl w:val="0"/>
          <w:numId w:val="8"/>
        </w:numPr>
        <w:jc w:val="both"/>
        <w:rPr>
          <w:rFonts w:ascii="Calibri" w:hAnsi="Calibri" w:cs="Calibri"/>
        </w:rPr>
      </w:pPr>
      <w:r w:rsidRPr="00692816">
        <w:rPr>
          <w:rFonts w:ascii="Calibri" w:hAnsi="Calibri" w:cs="Calibri"/>
        </w:rPr>
        <w:t>Horizonte temporal de 21 dias úteis.</w:t>
      </w:r>
    </w:p>
    <w:p w14:paraId="6824DADE" w14:textId="77777777" w:rsidR="00692816" w:rsidRPr="00692816" w:rsidRDefault="00692816" w:rsidP="00692816">
      <w:pPr>
        <w:pStyle w:val="PargrafodaLista"/>
        <w:jc w:val="both"/>
        <w:rPr>
          <w:rFonts w:ascii="Calibri" w:hAnsi="Calibri" w:cs="Calibri"/>
        </w:rPr>
      </w:pPr>
    </w:p>
    <w:p w14:paraId="68ED6EAF" w14:textId="77777777" w:rsidR="00692816" w:rsidRDefault="00692816" w:rsidP="00692816">
      <w:pPr>
        <w:ind w:firstLine="708"/>
        <w:jc w:val="both"/>
        <w:rPr>
          <w:rFonts w:ascii="Calibri" w:hAnsi="Calibri" w:cs="Calibri"/>
        </w:rPr>
      </w:pPr>
      <w:r w:rsidRPr="00692816">
        <w:rPr>
          <w:rFonts w:ascii="Calibri" w:hAnsi="Calibri" w:cs="Calibri"/>
        </w:rPr>
        <w:t>Como parâmetro de monitoramento para controle do risco de mercado dos ativos que compõe a carteira, os membros do Comitê de Investimentos deverão observar as referências abaixo estabelecidas e realizar reavaliação destes ativos sempre que as referências pré-estabelecidas forem ultrapassadas.</w:t>
      </w:r>
    </w:p>
    <w:p w14:paraId="77BC146D" w14:textId="77777777" w:rsidR="001F2FFC" w:rsidRDefault="001F2FFC" w:rsidP="00692816">
      <w:pPr>
        <w:ind w:firstLine="708"/>
        <w:jc w:val="both"/>
        <w:rPr>
          <w:rFonts w:ascii="Calibri" w:hAnsi="Calibri" w:cs="Calibri"/>
        </w:rPr>
      </w:pPr>
    </w:p>
    <w:p w14:paraId="0568862C" w14:textId="77777777" w:rsidR="00692816" w:rsidRPr="00692816" w:rsidRDefault="00692816" w:rsidP="00692816">
      <w:pPr>
        <w:ind w:firstLine="708"/>
        <w:jc w:val="both"/>
        <w:rPr>
          <w:rFonts w:ascii="Calibri" w:hAnsi="Calibri" w:cs="Calibri"/>
        </w:rPr>
      </w:pPr>
    </w:p>
    <w:p w14:paraId="15F0011B" w14:textId="77777777" w:rsidR="00692816" w:rsidRPr="00692816" w:rsidRDefault="00692816" w:rsidP="00692816">
      <w:pPr>
        <w:pStyle w:val="PargrafodaLista"/>
        <w:numPr>
          <w:ilvl w:val="0"/>
          <w:numId w:val="8"/>
        </w:numPr>
        <w:jc w:val="both"/>
        <w:rPr>
          <w:rFonts w:ascii="Calibri" w:hAnsi="Calibri" w:cs="Calibri"/>
        </w:rPr>
      </w:pPr>
      <w:r w:rsidRPr="00692816">
        <w:rPr>
          <w:rFonts w:ascii="Calibri" w:hAnsi="Calibri" w:cs="Calibri"/>
        </w:rPr>
        <w:t>Segmento de Renda Fixa: 3,56% (três inteiros e cinquenta e seis por cento) do valor alocado neste segmento.</w:t>
      </w:r>
    </w:p>
    <w:p w14:paraId="33672859" w14:textId="77777777" w:rsidR="00692816" w:rsidRDefault="00692816" w:rsidP="00692816">
      <w:pPr>
        <w:pStyle w:val="PargrafodaLista"/>
        <w:numPr>
          <w:ilvl w:val="0"/>
          <w:numId w:val="8"/>
        </w:numPr>
        <w:jc w:val="both"/>
        <w:rPr>
          <w:rFonts w:ascii="Calibri" w:hAnsi="Calibri" w:cs="Calibri"/>
        </w:rPr>
      </w:pPr>
      <w:r w:rsidRPr="00692816">
        <w:rPr>
          <w:rFonts w:ascii="Calibri" w:hAnsi="Calibri" w:cs="Calibri"/>
        </w:rPr>
        <w:t>Segmento de Renda Variável: 9,63% (nove inteiros e sessenta e três por cento) do valor alocado neste segmento.</w:t>
      </w:r>
    </w:p>
    <w:p w14:paraId="1783B95F" w14:textId="77777777" w:rsidR="00692816" w:rsidRPr="00692816" w:rsidRDefault="00692816" w:rsidP="00692816">
      <w:pPr>
        <w:pStyle w:val="PargrafodaLista"/>
        <w:jc w:val="both"/>
        <w:rPr>
          <w:rFonts w:ascii="Calibri" w:hAnsi="Calibri" w:cs="Calibri"/>
        </w:rPr>
      </w:pPr>
    </w:p>
    <w:p w14:paraId="336B3F97" w14:textId="77777777" w:rsidR="00692816" w:rsidRDefault="00692816" w:rsidP="00692816">
      <w:pPr>
        <w:ind w:firstLine="708"/>
        <w:jc w:val="both"/>
        <w:rPr>
          <w:rFonts w:ascii="Calibri" w:hAnsi="Calibri" w:cs="Calibri"/>
        </w:rPr>
      </w:pPr>
      <w:r w:rsidRPr="00692816">
        <w:rPr>
          <w:rFonts w:ascii="Calibri" w:hAnsi="Calibri" w:cs="Calibri"/>
        </w:rPr>
        <w:t>Como instrumento adicional de controle, o RPPS monitora a rentabilidade do fundo em janelas temporais (mês, ano, três meses, seis meses, doze meses e vinte e quatro meses), verificando o alinhamento com o “benchmark” estabelecido na política de investimentos do fundo. Desvios significativos deverão ser avaliados pelos membros do Comitê de Investimentos do RPPS, que decidirá pela manutenção, ou não, do investimento.</w:t>
      </w:r>
    </w:p>
    <w:p w14:paraId="347341AC" w14:textId="77777777" w:rsidR="00692816" w:rsidRDefault="00692816" w:rsidP="00692816">
      <w:pPr>
        <w:jc w:val="both"/>
        <w:rPr>
          <w:rFonts w:ascii="Calibri" w:hAnsi="Calibri" w:cs="Calibri"/>
        </w:rPr>
      </w:pPr>
    </w:p>
    <w:p w14:paraId="44AB37B4" w14:textId="1A4BE935" w:rsidR="00692816" w:rsidRDefault="00692816" w:rsidP="00AA1826">
      <w:pPr>
        <w:pStyle w:val="Ttulo2"/>
        <w:numPr>
          <w:ilvl w:val="1"/>
          <w:numId w:val="10"/>
        </w:numPr>
      </w:pPr>
      <w:bookmarkStart w:id="21" w:name="_Toc180593266"/>
      <w:r>
        <w:t>Controle do Risco de Crédito</w:t>
      </w:r>
      <w:bookmarkEnd w:id="21"/>
    </w:p>
    <w:p w14:paraId="7784D485" w14:textId="77777777" w:rsidR="00692816" w:rsidRDefault="00692816" w:rsidP="00692816">
      <w:pPr>
        <w:jc w:val="both"/>
        <w:rPr>
          <w:rFonts w:ascii="Calibri" w:hAnsi="Calibri" w:cs="Calibri"/>
        </w:rPr>
      </w:pPr>
    </w:p>
    <w:p w14:paraId="7BE35D2C" w14:textId="2664EE9A" w:rsidR="00AA1826" w:rsidRPr="00692816" w:rsidRDefault="00692816" w:rsidP="00692816">
      <w:pPr>
        <w:ind w:firstLine="708"/>
        <w:jc w:val="both"/>
        <w:rPr>
          <w:rFonts w:ascii="Calibri" w:hAnsi="Calibri" w:cs="Calibri"/>
        </w:rPr>
      </w:pPr>
      <w:r w:rsidRPr="00692816">
        <w:rPr>
          <w:rFonts w:ascii="Calibri" w:hAnsi="Calibri" w:cs="Calibri"/>
        </w:rPr>
        <w:t>Na hipótese de aplicação de recursos financeiros do RPPS, em fundos de investimento que possuem em sua carteira de investimentos ativos de crédito, subordinam-se que estes sejam emitidas por companhias abertas devidamente operacionais e registrada; e que sejam de baixo risco em classificação efetuada por agência classificadora de risco, o que estiverem de acordo com a tabela abaixo:</w:t>
      </w:r>
    </w:p>
    <w:p w14:paraId="6D7BC729" w14:textId="63271A3F" w:rsidR="00E853F7" w:rsidRDefault="00692816" w:rsidP="00692816">
      <w:pPr>
        <w:jc w:val="center"/>
        <w:rPr>
          <w:rFonts w:ascii="Calibri" w:hAnsi="Calibri" w:cs="Calibri"/>
        </w:rPr>
      </w:pPr>
      <w:r w:rsidRPr="00516AB2">
        <w:rPr>
          <w:b/>
          <w:bCs/>
          <w:noProof/>
          <w:szCs w:val="20"/>
          <w:lang w:eastAsia="pt-BR"/>
        </w:rPr>
        <w:drawing>
          <wp:inline distT="0" distB="0" distL="0" distR="0" wp14:anchorId="1BA7CDE2" wp14:editId="477F32A3">
            <wp:extent cx="3930555" cy="1011995"/>
            <wp:effectExtent l="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941637" cy="1014848"/>
                    </a:xfrm>
                    <a:prstGeom prst="rect">
                      <a:avLst/>
                    </a:prstGeom>
                    <a:noFill/>
                    <a:ln>
                      <a:noFill/>
                    </a:ln>
                  </pic:spPr>
                </pic:pic>
              </a:graphicData>
            </a:graphic>
          </wp:inline>
        </w:drawing>
      </w:r>
    </w:p>
    <w:p w14:paraId="40946B87" w14:textId="77777777" w:rsidR="00692816" w:rsidRDefault="00692816" w:rsidP="00692816">
      <w:pPr>
        <w:ind w:firstLine="708"/>
        <w:jc w:val="both"/>
        <w:rPr>
          <w:rFonts w:ascii="Calibri" w:hAnsi="Calibri" w:cs="Calibri"/>
        </w:rPr>
      </w:pPr>
      <w:r w:rsidRPr="00692816">
        <w:rPr>
          <w:rFonts w:ascii="Calibri" w:hAnsi="Calibri" w:cs="Calibri"/>
        </w:rPr>
        <w:t>As agências classificadoras de risco supracitadas estão devidamente registradas na CVM e autorizadas a operar no Brasil e utilizam o sistema de “rating” para classificar o nível de risco de uma instituição, fundo de investimentos e dos ativos integrantes de sua carteira.</w:t>
      </w:r>
    </w:p>
    <w:p w14:paraId="18EDE8CC" w14:textId="77777777" w:rsidR="001837C5" w:rsidRDefault="001837C5" w:rsidP="001837C5">
      <w:pPr>
        <w:pStyle w:val="Ttulo2"/>
      </w:pPr>
    </w:p>
    <w:p w14:paraId="7A0889E9" w14:textId="7CFA3F54" w:rsidR="00692816" w:rsidRDefault="00692816" w:rsidP="00AA1826">
      <w:pPr>
        <w:pStyle w:val="Ttulo2"/>
        <w:numPr>
          <w:ilvl w:val="1"/>
          <w:numId w:val="10"/>
        </w:numPr>
      </w:pPr>
      <w:bookmarkStart w:id="22" w:name="_Toc180593267"/>
      <w:r>
        <w:t>Controle do Risco de Liquidez</w:t>
      </w:r>
      <w:bookmarkEnd w:id="22"/>
    </w:p>
    <w:p w14:paraId="349FAB81" w14:textId="77777777" w:rsidR="00692816" w:rsidRDefault="00692816" w:rsidP="00692816">
      <w:pPr>
        <w:jc w:val="both"/>
        <w:rPr>
          <w:rFonts w:ascii="Calibri" w:hAnsi="Calibri" w:cs="Calibri"/>
        </w:rPr>
      </w:pPr>
    </w:p>
    <w:p w14:paraId="6C833114" w14:textId="710A842D" w:rsidR="00692816" w:rsidRDefault="00692816" w:rsidP="00692816">
      <w:pPr>
        <w:ind w:firstLine="708"/>
        <w:jc w:val="both"/>
        <w:rPr>
          <w:rFonts w:ascii="Calibri" w:hAnsi="Calibri" w:cs="Calibri"/>
        </w:rPr>
      </w:pPr>
      <w:r w:rsidRPr="00692816">
        <w:rPr>
          <w:rFonts w:ascii="Calibri" w:hAnsi="Calibri" w:cs="Calibri"/>
        </w:rPr>
        <w:t>Nas aplicações em fundos de investimentos constituídos sob a forma de condomínio fechado, e nas aplicações cuja soma do prazo de carência (se houver) acrescido ao prazo de conversão de cotas ultrapassarem em 365 dias, a aprovação do investimento deverá ser precedida de uma análise que evidencie a capacidade do RPPS em arcar com o fluxo de despesas necessárias ao cumprimento de suas obrigações atuariais, até a data da disponibilização dos recursos investidos.</w:t>
      </w:r>
    </w:p>
    <w:p w14:paraId="3B7D9F5F" w14:textId="77777777" w:rsidR="001833AA" w:rsidRDefault="001833AA" w:rsidP="00692816">
      <w:pPr>
        <w:ind w:firstLine="708"/>
        <w:jc w:val="both"/>
        <w:rPr>
          <w:rFonts w:ascii="Calibri" w:hAnsi="Calibri" w:cs="Calibri"/>
        </w:rPr>
      </w:pPr>
    </w:p>
    <w:p w14:paraId="7FFEB576" w14:textId="77777777" w:rsidR="00692816" w:rsidRDefault="00692816" w:rsidP="00692816">
      <w:pPr>
        <w:jc w:val="both"/>
        <w:rPr>
          <w:rFonts w:ascii="Calibri" w:hAnsi="Calibri" w:cs="Calibri"/>
        </w:rPr>
      </w:pPr>
    </w:p>
    <w:p w14:paraId="698470F7" w14:textId="77777777" w:rsidR="00692816" w:rsidRDefault="00692816" w:rsidP="002A4D5F">
      <w:pPr>
        <w:pStyle w:val="Ttulo1"/>
        <w:numPr>
          <w:ilvl w:val="0"/>
          <w:numId w:val="10"/>
        </w:numPr>
      </w:pPr>
      <w:bookmarkStart w:id="23" w:name="_Toc180593268"/>
      <w:r>
        <w:t>POLÍTICA DE TRANSPARÊNCIA</w:t>
      </w:r>
      <w:bookmarkEnd w:id="23"/>
    </w:p>
    <w:p w14:paraId="18EEB2BD" w14:textId="77777777" w:rsidR="00692816" w:rsidRDefault="00692816" w:rsidP="00692816">
      <w:pPr>
        <w:jc w:val="both"/>
        <w:rPr>
          <w:rFonts w:ascii="Calibri" w:hAnsi="Calibri" w:cs="Calibri"/>
        </w:rPr>
      </w:pPr>
    </w:p>
    <w:p w14:paraId="184BAB91" w14:textId="2FC3BA21" w:rsidR="00692816" w:rsidRDefault="006C0D2D" w:rsidP="006C0D2D">
      <w:pPr>
        <w:ind w:firstLine="708"/>
        <w:jc w:val="both"/>
        <w:rPr>
          <w:rFonts w:ascii="Calibri" w:hAnsi="Calibri" w:cs="Calibri"/>
        </w:rPr>
      </w:pPr>
      <w:r w:rsidRPr="006C0D2D">
        <w:rPr>
          <w:rFonts w:ascii="Calibri" w:hAnsi="Calibri" w:cs="Calibri"/>
        </w:rPr>
        <w:t>As diretrizes estabelecidas nesta Política de Investimentos, buscam dar total transparência em</w:t>
      </w:r>
      <w:r>
        <w:rPr>
          <w:rFonts w:ascii="Calibri" w:hAnsi="Calibri" w:cs="Calibri"/>
        </w:rPr>
        <w:t xml:space="preserve"> </w:t>
      </w:r>
      <w:r w:rsidRPr="006C0D2D">
        <w:rPr>
          <w:rFonts w:ascii="Calibri" w:hAnsi="Calibri" w:cs="Calibri"/>
        </w:rPr>
        <w:t>relação à g</w:t>
      </w:r>
      <w:r>
        <w:rPr>
          <w:rFonts w:ascii="Calibri" w:hAnsi="Calibri" w:cs="Calibri"/>
        </w:rPr>
        <w:t>estão dos investimentos do Regime Próprio de Previdência Social</w:t>
      </w:r>
      <w:r w:rsidRPr="006C0D2D">
        <w:rPr>
          <w:rFonts w:ascii="Calibri" w:hAnsi="Calibri" w:cs="Calibri"/>
        </w:rPr>
        <w:t>. Esta política e demais aspectos aqui descritos</w:t>
      </w:r>
      <w:r>
        <w:rPr>
          <w:rFonts w:ascii="Calibri" w:hAnsi="Calibri" w:cs="Calibri"/>
        </w:rPr>
        <w:t xml:space="preserve"> </w:t>
      </w:r>
      <w:r w:rsidRPr="006C0D2D">
        <w:rPr>
          <w:rFonts w:ascii="Calibri" w:hAnsi="Calibri" w:cs="Calibri"/>
        </w:rPr>
        <w:t>deverão ter visibilidade através da sua divulgação e apresentação aos seus segmentos internos, bem</w:t>
      </w:r>
      <w:r>
        <w:rPr>
          <w:rFonts w:ascii="Calibri" w:hAnsi="Calibri" w:cs="Calibri"/>
        </w:rPr>
        <w:t xml:space="preserve"> </w:t>
      </w:r>
      <w:r w:rsidRPr="006C0D2D">
        <w:rPr>
          <w:rFonts w:ascii="Calibri" w:hAnsi="Calibri" w:cs="Calibri"/>
        </w:rPr>
        <w:t>como aos externos, quer por publicações impressas ou eletrônicas, em relatórios independentes de</w:t>
      </w:r>
      <w:r>
        <w:rPr>
          <w:rFonts w:ascii="Calibri" w:hAnsi="Calibri" w:cs="Calibri"/>
        </w:rPr>
        <w:t xml:space="preserve"> </w:t>
      </w:r>
      <w:r w:rsidRPr="006C0D2D">
        <w:rPr>
          <w:rFonts w:ascii="Calibri" w:hAnsi="Calibri" w:cs="Calibri"/>
        </w:rPr>
        <w:t>requisição, ou sob sua demanda.</w:t>
      </w:r>
    </w:p>
    <w:p w14:paraId="02C84242" w14:textId="77777777" w:rsidR="006C0D2D" w:rsidRDefault="006C0D2D" w:rsidP="006C0D2D">
      <w:pPr>
        <w:ind w:firstLine="708"/>
        <w:jc w:val="both"/>
        <w:rPr>
          <w:rFonts w:ascii="Calibri" w:hAnsi="Calibri" w:cs="Calibri"/>
        </w:rPr>
      </w:pPr>
    </w:p>
    <w:p w14:paraId="2A01A847" w14:textId="77777777" w:rsidR="004E306B" w:rsidRDefault="004E306B" w:rsidP="004E306B">
      <w:pPr>
        <w:jc w:val="both"/>
        <w:rPr>
          <w:rFonts w:ascii="Calibri" w:hAnsi="Calibri" w:cs="Calibri"/>
        </w:rPr>
      </w:pPr>
    </w:p>
    <w:p w14:paraId="1CA17407" w14:textId="77777777" w:rsidR="001F2FFC" w:rsidRDefault="001F2FFC" w:rsidP="004E306B">
      <w:pPr>
        <w:jc w:val="both"/>
        <w:rPr>
          <w:rFonts w:ascii="Calibri" w:hAnsi="Calibri" w:cs="Calibri"/>
        </w:rPr>
      </w:pPr>
    </w:p>
    <w:p w14:paraId="78ECE7E9" w14:textId="77777777" w:rsidR="001F2FFC" w:rsidRDefault="001F2FFC" w:rsidP="004E306B">
      <w:pPr>
        <w:jc w:val="both"/>
        <w:rPr>
          <w:rFonts w:ascii="Calibri" w:hAnsi="Calibri" w:cs="Calibri"/>
        </w:rPr>
      </w:pPr>
    </w:p>
    <w:p w14:paraId="3389DEC4" w14:textId="77777777" w:rsidR="001F2FFC" w:rsidRDefault="001F2FFC" w:rsidP="004E306B">
      <w:pPr>
        <w:jc w:val="both"/>
        <w:rPr>
          <w:rFonts w:ascii="Calibri" w:hAnsi="Calibri" w:cs="Calibri"/>
        </w:rPr>
      </w:pPr>
    </w:p>
    <w:p w14:paraId="4B33C843" w14:textId="77777777" w:rsidR="001F2FFC" w:rsidRDefault="001F2FFC" w:rsidP="004E306B">
      <w:pPr>
        <w:jc w:val="both"/>
        <w:rPr>
          <w:rFonts w:ascii="Calibri" w:hAnsi="Calibri" w:cs="Calibri"/>
        </w:rPr>
      </w:pPr>
    </w:p>
    <w:p w14:paraId="1C96A1FC" w14:textId="77777777" w:rsidR="001F2FFC" w:rsidRDefault="001F2FFC" w:rsidP="004E306B">
      <w:pPr>
        <w:jc w:val="both"/>
        <w:rPr>
          <w:rFonts w:ascii="Calibri" w:hAnsi="Calibri" w:cs="Calibri"/>
        </w:rPr>
      </w:pPr>
    </w:p>
    <w:p w14:paraId="59D10CBF" w14:textId="77777777" w:rsidR="001F2FFC" w:rsidRDefault="001F2FFC" w:rsidP="004E306B">
      <w:pPr>
        <w:jc w:val="both"/>
        <w:rPr>
          <w:rFonts w:ascii="Calibri" w:hAnsi="Calibri" w:cs="Calibri"/>
        </w:rPr>
      </w:pPr>
    </w:p>
    <w:p w14:paraId="43E2F12D" w14:textId="77777777" w:rsidR="001F2FFC" w:rsidRDefault="001F2FFC" w:rsidP="004E306B">
      <w:pPr>
        <w:jc w:val="both"/>
        <w:rPr>
          <w:rFonts w:ascii="Calibri" w:hAnsi="Calibri" w:cs="Calibri"/>
        </w:rPr>
      </w:pPr>
    </w:p>
    <w:p w14:paraId="744B1380" w14:textId="77777777" w:rsidR="001F2FFC" w:rsidRDefault="001F2FFC" w:rsidP="004E306B">
      <w:pPr>
        <w:jc w:val="both"/>
        <w:rPr>
          <w:rFonts w:ascii="Calibri" w:hAnsi="Calibri" w:cs="Calibri"/>
        </w:rPr>
      </w:pPr>
    </w:p>
    <w:p w14:paraId="7F3812A0" w14:textId="77777777" w:rsidR="001F2FFC" w:rsidRDefault="001F2FFC" w:rsidP="004E306B">
      <w:pPr>
        <w:jc w:val="both"/>
        <w:rPr>
          <w:rFonts w:ascii="Calibri" w:hAnsi="Calibri" w:cs="Calibri"/>
        </w:rPr>
      </w:pPr>
    </w:p>
    <w:p w14:paraId="252F9184" w14:textId="77777777" w:rsidR="001F2FFC" w:rsidRDefault="001F2FFC" w:rsidP="004E306B">
      <w:pPr>
        <w:jc w:val="both"/>
        <w:rPr>
          <w:rFonts w:ascii="Calibri" w:hAnsi="Calibri" w:cs="Calibri"/>
        </w:rPr>
      </w:pPr>
    </w:p>
    <w:p w14:paraId="2CEE4581" w14:textId="77777777" w:rsidR="001F2FFC" w:rsidRDefault="001F2FFC" w:rsidP="004E306B">
      <w:pPr>
        <w:jc w:val="both"/>
        <w:rPr>
          <w:rFonts w:ascii="Calibri" w:hAnsi="Calibri" w:cs="Calibri"/>
        </w:rPr>
      </w:pPr>
    </w:p>
    <w:p w14:paraId="4BED2374" w14:textId="77777777" w:rsidR="001F2FFC" w:rsidRDefault="001F2FFC" w:rsidP="004E306B">
      <w:pPr>
        <w:jc w:val="both"/>
        <w:rPr>
          <w:rFonts w:ascii="Calibri" w:hAnsi="Calibri" w:cs="Calibri"/>
        </w:rPr>
      </w:pPr>
    </w:p>
    <w:p w14:paraId="6375FED1" w14:textId="77777777" w:rsidR="001F2FFC" w:rsidRDefault="001F2FFC" w:rsidP="004E306B">
      <w:pPr>
        <w:jc w:val="both"/>
        <w:rPr>
          <w:rFonts w:ascii="Calibri" w:hAnsi="Calibri" w:cs="Calibri"/>
        </w:rPr>
      </w:pPr>
    </w:p>
    <w:p w14:paraId="40BD846C" w14:textId="77777777" w:rsidR="001F2FFC" w:rsidRDefault="001F2FFC" w:rsidP="004E306B">
      <w:pPr>
        <w:jc w:val="both"/>
        <w:rPr>
          <w:rFonts w:ascii="Calibri" w:hAnsi="Calibri" w:cs="Calibri"/>
        </w:rPr>
      </w:pPr>
    </w:p>
    <w:p w14:paraId="418DFDAC" w14:textId="77777777" w:rsidR="001F2FFC" w:rsidRDefault="001F2FFC" w:rsidP="004E306B">
      <w:pPr>
        <w:jc w:val="both"/>
        <w:rPr>
          <w:rFonts w:ascii="Calibri" w:hAnsi="Calibri" w:cs="Calibri"/>
        </w:rPr>
      </w:pPr>
    </w:p>
    <w:p w14:paraId="7F499289" w14:textId="77777777" w:rsidR="001F2FFC" w:rsidRDefault="001F2FFC" w:rsidP="004E306B">
      <w:pPr>
        <w:jc w:val="both"/>
        <w:rPr>
          <w:rFonts w:ascii="Calibri" w:hAnsi="Calibri" w:cs="Calibri"/>
        </w:rPr>
      </w:pPr>
    </w:p>
    <w:p w14:paraId="448796EB" w14:textId="77777777" w:rsidR="001F2FFC" w:rsidRDefault="001F2FFC" w:rsidP="004E306B">
      <w:pPr>
        <w:jc w:val="both"/>
        <w:rPr>
          <w:rFonts w:ascii="Calibri" w:hAnsi="Calibri" w:cs="Calibri"/>
        </w:rPr>
      </w:pPr>
    </w:p>
    <w:p w14:paraId="20B586AC" w14:textId="77777777" w:rsidR="001F2FFC" w:rsidRDefault="001F2FFC" w:rsidP="004E306B">
      <w:pPr>
        <w:jc w:val="both"/>
        <w:rPr>
          <w:rFonts w:ascii="Calibri" w:hAnsi="Calibri" w:cs="Calibri"/>
        </w:rPr>
      </w:pPr>
    </w:p>
    <w:p w14:paraId="6EFC2B08" w14:textId="77777777" w:rsidR="001F2FFC" w:rsidRDefault="001F2FFC" w:rsidP="004E306B">
      <w:pPr>
        <w:jc w:val="both"/>
        <w:rPr>
          <w:rFonts w:ascii="Calibri" w:hAnsi="Calibri" w:cs="Calibri"/>
        </w:rPr>
      </w:pPr>
    </w:p>
    <w:p w14:paraId="5B0BB4BC" w14:textId="77777777" w:rsidR="004E306B" w:rsidRDefault="004E306B" w:rsidP="002A4D5F">
      <w:pPr>
        <w:pStyle w:val="Ttulo1"/>
        <w:numPr>
          <w:ilvl w:val="0"/>
          <w:numId w:val="10"/>
        </w:numPr>
      </w:pPr>
      <w:bookmarkStart w:id="24" w:name="_Toc180593269"/>
      <w:r>
        <w:t>CRITÉRIOS DE CREDENCIAMENTO</w:t>
      </w:r>
      <w:bookmarkEnd w:id="24"/>
    </w:p>
    <w:p w14:paraId="6B21809D" w14:textId="77777777" w:rsidR="004E306B" w:rsidRDefault="004E306B" w:rsidP="004E306B">
      <w:pPr>
        <w:jc w:val="both"/>
        <w:rPr>
          <w:rFonts w:ascii="Calibri" w:hAnsi="Calibri" w:cs="Calibri"/>
        </w:rPr>
      </w:pPr>
    </w:p>
    <w:p w14:paraId="7F4FEB96" w14:textId="4F6E2203" w:rsidR="004E306B" w:rsidRPr="004E306B" w:rsidRDefault="000435E4" w:rsidP="004E306B">
      <w:pPr>
        <w:ind w:firstLine="708"/>
        <w:jc w:val="both"/>
        <w:rPr>
          <w:rFonts w:ascii="Calibri" w:hAnsi="Calibri" w:cs="Calibri"/>
        </w:rPr>
      </w:pPr>
      <w:r>
        <w:rPr>
          <w:rFonts w:ascii="Calibri" w:hAnsi="Calibri" w:cs="Calibri"/>
        </w:rPr>
        <w:t>Seguindo a Portaria MTP nº 1.467, de 02 de junho de 2022</w:t>
      </w:r>
      <w:r w:rsidR="004E306B" w:rsidRPr="004E306B">
        <w:rPr>
          <w:rFonts w:ascii="Calibri" w:hAnsi="Calibri" w:cs="Calibri"/>
        </w:rPr>
        <w:t>, na gestão própria, antes da realização de qualquer operação, o RPPS, na figura de seu Comitê de Investimentos, deverá assegurar que as instituições financeiras escolhidas para receber as aplicações tenham sido objeto de prévio credenciamento.</w:t>
      </w:r>
    </w:p>
    <w:p w14:paraId="380DD0B4" w14:textId="77777777" w:rsidR="004E306B" w:rsidRDefault="004E306B" w:rsidP="004E306B">
      <w:pPr>
        <w:ind w:firstLine="708"/>
        <w:jc w:val="both"/>
        <w:rPr>
          <w:rFonts w:ascii="Calibri" w:hAnsi="Calibri" w:cs="Calibri"/>
        </w:rPr>
      </w:pPr>
      <w:r w:rsidRPr="004E306B">
        <w:rPr>
          <w:rFonts w:ascii="Calibri" w:hAnsi="Calibri" w:cs="Calibri"/>
        </w:rPr>
        <w:t>Para tal credenciamento, deverão ser observados, e formalmente atestados pelo representante legal do RPPS e submetido à aprovação do Comitê de Investimentos, no mínimo, quesitos como:</w:t>
      </w:r>
    </w:p>
    <w:p w14:paraId="050C62EF" w14:textId="77777777" w:rsidR="004E306B" w:rsidRPr="004E306B" w:rsidRDefault="004E306B" w:rsidP="004E306B">
      <w:pPr>
        <w:ind w:firstLine="708"/>
        <w:jc w:val="both"/>
        <w:rPr>
          <w:rFonts w:ascii="Calibri" w:hAnsi="Calibri" w:cs="Calibri"/>
        </w:rPr>
      </w:pPr>
    </w:p>
    <w:p w14:paraId="473C209F" w14:textId="77777777" w:rsidR="004E306B" w:rsidRPr="004E306B" w:rsidRDefault="004E306B" w:rsidP="004E306B">
      <w:pPr>
        <w:jc w:val="both"/>
        <w:rPr>
          <w:rFonts w:ascii="Calibri" w:hAnsi="Calibri" w:cs="Calibri"/>
        </w:rPr>
      </w:pPr>
      <w:r>
        <w:rPr>
          <w:rFonts w:ascii="Calibri" w:hAnsi="Calibri" w:cs="Calibri"/>
        </w:rPr>
        <w:t>a) A</w:t>
      </w:r>
      <w:r w:rsidRPr="004E306B">
        <w:rPr>
          <w:rFonts w:ascii="Calibri" w:hAnsi="Calibri" w:cs="Calibri"/>
        </w:rPr>
        <w:t>tos de registro ou autorização para funcionamento expedido pelo Banco Central do Brasil ou Comissão de Valores Mobiliários ou órgão competente;</w:t>
      </w:r>
    </w:p>
    <w:p w14:paraId="68BC5DA2" w14:textId="77777777" w:rsidR="004E306B" w:rsidRPr="004E306B" w:rsidRDefault="004E306B" w:rsidP="004E306B">
      <w:pPr>
        <w:jc w:val="both"/>
        <w:rPr>
          <w:rFonts w:ascii="Calibri" w:hAnsi="Calibri" w:cs="Calibri"/>
        </w:rPr>
      </w:pPr>
      <w:r w:rsidRPr="004E306B">
        <w:rPr>
          <w:rFonts w:ascii="Calibri" w:hAnsi="Calibri" w:cs="Calibri"/>
        </w:rPr>
        <w:t>b)</w:t>
      </w:r>
      <w:r>
        <w:rPr>
          <w:rFonts w:ascii="Calibri" w:hAnsi="Calibri" w:cs="Calibri"/>
        </w:rPr>
        <w:t xml:space="preserve"> O</w:t>
      </w:r>
      <w:r w:rsidRPr="004E306B">
        <w:rPr>
          <w:rFonts w:ascii="Calibri" w:hAnsi="Calibri" w:cs="Calibri"/>
        </w:rPr>
        <w:t>bservação de elevado padrão ético de conduta nas operações realizadas no mercado financeiro e ausência de restrições que, a critério do Banco Central do Brasil, da Comissão de Valores Mobiliários ou de outros órgãos competentes desaconselhem um relacionamento seguro;</w:t>
      </w:r>
    </w:p>
    <w:p w14:paraId="1D6102F2" w14:textId="77777777" w:rsidR="004E306B" w:rsidRPr="004E306B" w:rsidRDefault="004E306B" w:rsidP="004E306B">
      <w:pPr>
        <w:jc w:val="both"/>
        <w:rPr>
          <w:rFonts w:ascii="Calibri" w:hAnsi="Calibri" w:cs="Calibri"/>
        </w:rPr>
      </w:pPr>
      <w:r w:rsidRPr="004E306B">
        <w:rPr>
          <w:rFonts w:ascii="Calibri" w:hAnsi="Calibri" w:cs="Calibri"/>
        </w:rPr>
        <w:t>c)</w:t>
      </w:r>
      <w:r>
        <w:rPr>
          <w:rFonts w:ascii="Calibri" w:hAnsi="Calibri" w:cs="Calibri"/>
        </w:rPr>
        <w:t xml:space="preserve"> R</w:t>
      </w:r>
      <w:r w:rsidRPr="004E306B">
        <w:rPr>
          <w:rFonts w:ascii="Calibri" w:hAnsi="Calibri" w:cs="Calibri"/>
        </w:rPr>
        <w:t>egularidade fiscal e previdenciária.</w:t>
      </w:r>
    </w:p>
    <w:p w14:paraId="2DBAB164" w14:textId="77777777" w:rsidR="001F2FFC" w:rsidRDefault="001F2FFC" w:rsidP="004E306B">
      <w:pPr>
        <w:ind w:firstLine="708"/>
        <w:jc w:val="both"/>
        <w:rPr>
          <w:rFonts w:ascii="Calibri" w:hAnsi="Calibri" w:cs="Calibri"/>
        </w:rPr>
      </w:pPr>
    </w:p>
    <w:p w14:paraId="6E341AFF" w14:textId="77777777" w:rsidR="004E306B" w:rsidRDefault="004E306B" w:rsidP="004E306B">
      <w:pPr>
        <w:ind w:firstLine="708"/>
        <w:jc w:val="both"/>
        <w:rPr>
          <w:rFonts w:ascii="Calibri" w:hAnsi="Calibri" w:cs="Calibri"/>
        </w:rPr>
      </w:pPr>
      <w:r w:rsidRPr="004E306B">
        <w:rPr>
          <w:rFonts w:ascii="Calibri" w:hAnsi="Calibri" w:cs="Calibri"/>
        </w:rPr>
        <w:t>Quando se tratar de fundos de investimento, o credenciamento previsto recairá sobre a figura do gestor e do administrador do fundo.</w:t>
      </w:r>
    </w:p>
    <w:p w14:paraId="5FFCA863" w14:textId="77777777" w:rsidR="004E306B" w:rsidRDefault="004E306B" w:rsidP="004E306B">
      <w:pPr>
        <w:jc w:val="both"/>
        <w:rPr>
          <w:rFonts w:ascii="Calibri" w:hAnsi="Calibri" w:cs="Calibri"/>
        </w:rPr>
      </w:pPr>
    </w:p>
    <w:p w14:paraId="7AD4D2A0" w14:textId="7E662AB0" w:rsidR="004E306B" w:rsidRDefault="004E306B" w:rsidP="00AA1826">
      <w:pPr>
        <w:pStyle w:val="Ttulo2"/>
        <w:numPr>
          <w:ilvl w:val="1"/>
          <w:numId w:val="10"/>
        </w:numPr>
      </w:pPr>
      <w:bookmarkStart w:id="25" w:name="_Toc180593270"/>
      <w:r>
        <w:t>Processo de Avaliação dos Gestores/Administradores</w:t>
      </w:r>
      <w:bookmarkEnd w:id="25"/>
      <w:r>
        <w:t xml:space="preserve"> </w:t>
      </w:r>
    </w:p>
    <w:p w14:paraId="51A13D35" w14:textId="77777777" w:rsidR="004E306B" w:rsidRDefault="004E306B" w:rsidP="004E306B">
      <w:pPr>
        <w:jc w:val="both"/>
        <w:rPr>
          <w:rFonts w:ascii="Calibri" w:hAnsi="Calibri" w:cs="Calibri"/>
        </w:rPr>
      </w:pPr>
    </w:p>
    <w:p w14:paraId="31B6087A" w14:textId="2C80F074" w:rsidR="004E306B" w:rsidRDefault="004E306B" w:rsidP="004E306B">
      <w:pPr>
        <w:ind w:firstLine="708"/>
        <w:jc w:val="both"/>
        <w:rPr>
          <w:rFonts w:ascii="Calibri" w:hAnsi="Calibri" w:cs="Calibri"/>
        </w:rPr>
      </w:pPr>
      <w:r w:rsidRPr="004E306B">
        <w:rPr>
          <w:rFonts w:ascii="Calibri" w:hAnsi="Calibri" w:cs="Calibri"/>
        </w:rPr>
        <w:t>Nos processos de seleção dos Gestores/Administradores, devem ser considerados os aspectos qualitativos e quantitativos, tendo como parâmetro de análise no mínimo:</w:t>
      </w:r>
    </w:p>
    <w:p w14:paraId="69956F46" w14:textId="3B8EE675" w:rsidR="009E6B58" w:rsidRDefault="009E6B58" w:rsidP="004E306B">
      <w:pPr>
        <w:ind w:firstLine="708"/>
        <w:jc w:val="both"/>
        <w:rPr>
          <w:rFonts w:ascii="Calibri" w:hAnsi="Calibri" w:cs="Calibri"/>
        </w:rPr>
      </w:pPr>
    </w:p>
    <w:p w14:paraId="742BF895" w14:textId="15F5EF40" w:rsidR="009E6B58" w:rsidRDefault="009E6B58" w:rsidP="004E306B">
      <w:pPr>
        <w:ind w:firstLine="708"/>
        <w:jc w:val="both"/>
        <w:rPr>
          <w:rFonts w:ascii="Calibri" w:hAnsi="Calibri" w:cs="Calibri"/>
        </w:rPr>
      </w:pPr>
    </w:p>
    <w:p w14:paraId="16E8297E" w14:textId="0E3D13AD" w:rsidR="009E6B58" w:rsidRDefault="009E6B58" w:rsidP="004E306B">
      <w:pPr>
        <w:ind w:firstLine="708"/>
        <w:jc w:val="both"/>
        <w:rPr>
          <w:rFonts w:ascii="Calibri" w:hAnsi="Calibri" w:cs="Calibri"/>
        </w:rPr>
      </w:pPr>
    </w:p>
    <w:p w14:paraId="582890EA" w14:textId="63140CC6" w:rsidR="009E6B58" w:rsidRDefault="009E6B58" w:rsidP="004E306B">
      <w:pPr>
        <w:ind w:firstLine="708"/>
        <w:jc w:val="both"/>
        <w:rPr>
          <w:rFonts w:ascii="Calibri" w:hAnsi="Calibri" w:cs="Calibri"/>
        </w:rPr>
      </w:pPr>
    </w:p>
    <w:p w14:paraId="133B02AA" w14:textId="77777777" w:rsidR="009E6B58" w:rsidRDefault="009E6B58" w:rsidP="004E306B">
      <w:pPr>
        <w:ind w:firstLine="708"/>
        <w:jc w:val="both"/>
        <w:rPr>
          <w:rFonts w:ascii="Calibri" w:hAnsi="Calibri" w:cs="Calibri"/>
        </w:rPr>
      </w:pPr>
    </w:p>
    <w:p w14:paraId="2F6FEB37" w14:textId="77777777" w:rsidR="004E306B" w:rsidRPr="004E306B" w:rsidRDefault="004E306B" w:rsidP="004E306B">
      <w:pPr>
        <w:ind w:firstLine="708"/>
        <w:jc w:val="both"/>
        <w:rPr>
          <w:rFonts w:ascii="Calibri" w:hAnsi="Calibri" w:cs="Calibri"/>
        </w:rPr>
      </w:pPr>
    </w:p>
    <w:p w14:paraId="739F6DFA" w14:textId="77777777" w:rsidR="004E306B" w:rsidRPr="004E306B" w:rsidRDefault="004E306B" w:rsidP="004E306B">
      <w:pPr>
        <w:jc w:val="both"/>
        <w:rPr>
          <w:rFonts w:ascii="Calibri" w:hAnsi="Calibri" w:cs="Calibri"/>
        </w:rPr>
      </w:pPr>
      <w:r>
        <w:rPr>
          <w:rFonts w:ascii="Calibri" w:hAnsi="Calibri" w:cs="Calibri"/>
        </w:rPr>
        <w:t xml:space="preserve">a) </w:t>
      </w:r>
      <w:r w:rsidRPr="004E306B">
        <w:rPr>
          <w:rFonts w:ascii="Calibri" w:hAnsi="Calibri" w:cs="Calibri"/>
        </w:rPr>
        <w:t>Tradição e Credibilidade da Instituição – envolvendo volume de recursos administrados e geridos, no Brasil e no exterior, capacitação profissional dos agentes envolvidos na administração e gestão de investimentos do fundo, que incluem formação acadêmica continuada, certificações, reconhecimento público etc., tempo de atuação e maturidade desses agentes na atividade, regularidade da manutenção da equipe, com base na rotatividade dos profissionais e na tempestividade na reposição, além de outras informações relacionadas com a administração e gestão de investimentos que permitam identificar a cultura fiduciária da instituição e seu compromisso com princípios de responsabilidade nos investimentos e de governança;</w:t>
      </w:r>
    </w:p>
    <w:p w14:paraId="464AF739" w14:textId="77777777" w:rsidR="004E306B" w:rsidRPr="004E306B" w:rsidRDefault="004E306B" w:rsidP="004E306B">
      <w:pPr>
        <w:jc w:val="both"/>
        <w:rPr>
          <w:rFonts w:ascii="Calibri" w:hAnsi="Calibri" w:cs="Calibri"/>
        </w:rPr>
      </w:pPr>
      <w:r>
        <w:rPr>
          <w:rFonts w:ascii="Calibri" w:hAnsi="Calibri" w:cs="Calibri"/>
        </w:rPr>
        <w:t xml:space="preserve">b) </w:t>
      </w:r>
      <w:r w:rsidRPr="004E306B">
        <w:rPr>
          <w:rFonts w:ascii="Calibri" w:hAnsi="Calibri" w:cs="Calibri"/>
        </w:rPr>
        <w:t>Gestão do Risco – envolvendo qualidade e consistência dos processos de administração e gestão, em especial aos riscos de crédito – quando aplicável – liquidez, mercado, legal e operacional, efetividade dos controles internos, envolvendo, ainda, o uso de ferramentas, softwares e consultorias especializadas, regularidade na prestação de informações, atuação da área de “compliance”, capacitação profissional dos agentes envolvidos na administração e gestão de risco do fundo, que incluem formação acadêmica continuada, certificações, reconhecimento público etc., tempo de atuação e maturidade desses agentes na atividade, regularidade da manutenção da equipe de risco, com base na rotatividade dos profissionais e na tempestividade na reposição, além de outras informações relacionadas com a administração e gestão do risco.</w:t>
      </w:r>
    </w:p>
    <w:p w14:paraId="44FB12A9" w14:textId="77777777" w:rsidR="004E306B" w:rsidRPr="004E306B" w:rsidRDefault="004E306B" w:rsidP="004E306B">
      <w:pPr>
        <w:jc w:val="both"/>
        <w:rPr>
          <w:rFonts w:ascii="Calibri" w:hAnsi="Calibri" w:cs="Calibri"/>
        </w:rPr>
      </w:pPr>
      <w:r>
        <w:rPr>
          <w:rFonts w:ascii="Calibri" w:hAnsi="Calibri" w:cs="Calibri"/>
        </w:rPr>
        <w:t xml:space="preserve">c) </w:t>
      </w:r>
      <w:r w:rsidRPr="004E306B">
        <w:rPr>
          <w:rFonts w:ascii="Calibri" w:hAnsi="Calibri" w:cs="Calibri"/>
        </w:rPr>
        <w:t>Avaliação de aderência dos Fundos aos indicadores de desempenho (Benchmark) e riscos – envolvendo a correlação da rentabilidade com seus objetivos e a consistência na entrega de resultados no período mínimo de dois anos anteriores ao credenciamento;</w:t>
      </w:r>
    </w:p>
    <w:p w14:paraId="6F07A5C6" w14:textId="77777777" w:rsidR="004E306B" w:rsidRDefault="004E306B" w:rsidP="004E306B">
      <w:pPr>
        <w:jc w:val="both"/>
        <w:rPr>
          <w:rFonts w:ascii="Calibri" w:hAnsi="Calibri" w:cs="Calibri"/>
        </w:rPr>
      </w:pPr>
    </w:p>
    <w:p w14:paraId="136F889B" w14:textId="77777777" w:rsidR="004E306B" w:rsidRDefault="004E306B" w:rsidP="004E306B">
      <w:pPr>
        <w:ind w:firstLine="708"/>
        <w:jc w:val="both"/>
        <w:rPr>
          <w:rFonts w:ascii="Calibri" w:hAnsi="Calibri" w:cs="Calibri"/>
        </w:rPr>
      </w:pPr>
      <w:r w:rsidRPr="004E306B">
        <w:rPr>
          <w:rFonts w:ascii="Calibri" w:hAnsi="Calibri" w:cs="Calibri"/>
        </w:rPr>
        <w:t>Entende-se que os fundos possuem uma gestão discricionária, na qual o gestor decide pelos investimentos que vai realizar, desde que respeitando o regulamento do fundo e as normas aplicáveis aos RPPS.</w:t>
      </w:r>
    </w:p>
    <w:p w14:paraId="38D85689" w14:textId="77777777" w:rsidR="004E306B" w:rsidRPr="004E306B" w:rsidRDefault="004E306B" w:rsidP="004E306B">
      <w:pPr>
        <w:ind w:firstLine="708"/>
        <w:jc w:val="both"/>
        <w:rPr>
          <w:rFonts w:ascii="Calibri" w:hAnsi="Calibri" w:cs="Calibri"/>
        </w:rPr>
      </w:pPr>
      <w:r w:rsidRPr="004E306B">
        <w:rPr>
          <w:rFonts w:ascii="Calibri" w:hAnsi="Calibri" w:cs="Calibri"/>
        </w:rPr>
        <w:t>O Credenciamento se dará, por meio eletrônico, no âmbito de controle, inclusive no gerenciamento dos documentos e Certidões requisitadas, através do sistema eletrônico utilizado pelo RPPS.</w:t>
      </w:r>
    </w:p>
    <w:p w14:paraId="5E7C9066" w14:textId="77777777" w:rsidR="004E306B" w:rsidRPr="004E306B" w:rsidRDefault="004E306B" w:rsidP="004E306B">
      <w:pPr>
        <w:ind w:firstLine="708"/>
        <w:jc w:val="both"/>
        <w:rPr>
          <w:rFonts w:ascii="Calibri" w:hAnsi="Calibri" w:cs="Calibri"/>
        </w:rPr>
      </w:pPr>
      <w:r w:rsidRPr="004E306B">
        <w:rPr>
          <w:rFonts w:ascii="Calibri" w:hAnsi="Calibri" w:cs="Calibri"/>
        </w:rPr>
        <w:t>Fica definido também, como critério de documento para credenciamento, o relatório Due Diligence da ANBIMA, entendidos como seção um, dois e três.</w:t>
      </w:r>
    </w:p>
    <w:p w14:paraId="6BBC6F98" w14:textId="77777777" w:rsidR="004E306B" w:rsidRDefault="004E306B" w:rsidP="004E306B">
      <w:pPr>
        <w:ind w:firstLine="708"/>
        <w:jc w:val="both"/>
        <w:rPr>
          <w:rFonts w:ascii="Calibri" w:hAnsi="Calibri" w:cs="Calibri"/>
        </w:rPr>
      </w:pPr>
      <w:r w:rsidRPr="004E306B">
        <w:rPr>
          <w:rFonts w:ascii="Calibri" w:hAnsi="Calibri" w:cs="Calibri"/>
        </w:rPr>
        <w:t>Encontra-se qualificado para participar do processo seletivo qualquer empresa gestora de recursos financeiros autorizada a funcionar pelo órgão regulador (Banco Central do Brasil ou Comissão de Valores Mobiliários), sendo considerada como elegível a gestora/administradora que atender ao critério de avaliação de Qualidade de Gestão dos Investimentos.</w:t>
      </w:r>
    </w:p>
    <w:p w14:paraId="3712128E" w14:textId="77777777" w:rsidR="004E306B" w:rsidRDefault="004E306B" w:rsidP="004E306B">
      <w:pPr>
        <w:jc w:val="both"/>
        <w:rPr>
          <w:rFonts w:ascii="Calibri" w:hAnsi="Calibri" w:cs="Calibri"/>
        </w:rPr>
      </w:pPr>
    </w:p>
    <w:p w14:paraId="4B5EA0A3" w14:textId="77777777" w:rsidR="001F2FFC" w:rsidRDefault="001F2FFC" w:rsidP="004E306B">
      <w:pPr>
        <w:jc w:val="both"/>
        <w:rPr>
          <w:rFonts w:ascii="Calibri" w:hAnsi="Calibri" w:cs="Calibri"/>
        </w:rPr>
      </w:pPr>
    </w:p>
    <w:p w14:paraId="21751264" w14:textId="77777777" w:rsidR="004E306B" w:rsidRDefault="004E306B" w:rsidP="002A4D5F">
      <w:pPr>
        <w:pStyle w:val="Ttulo1"/>
        <w:numPr>
          <w:ilvl w:val="0"/>
          <w:numId w:val="10"/>
        </w:numPr>
      </w:pPr>
      <w:bookmarkStart w:id="26" w:name="_Toc180593271"/>
      <w:r>
        <w:t>CONTROLES INTERNOS</w:t>
      </w:r>
      <w:bookmarkEnd w:id="26"/>
    </w:p>
    <w:p w14:paraId="234F3FA6" w14:textId="77777777" w:rsidR="004E306B" w:rsidRDefault="004E306B" w:rsidP="004E306B">
      <w:pPr>
        <w:jc w:val="both"/>
        <w:rPr>
          <w:rFonts w:ascii="Calibri" w:hAnsi="Calibri" w:cs="Calibri"/>
        </w:rPr>
      </w:pPr>
    </w:p>
    <w:p w14:paraId="32499B6C" w14:textId="77777777" w:rsidR="004E306B" w:rsidRPr="004E306B" w:rsidRDefault="004E306B" w:rsidP="004E306B">
      <w:pPr>
        <w:ind w:firstLine="708"/>
        <w:jc w:val="both"/>
        <w:rPr>
          <w:rFonts w:ascii="Calibri" w:hAnsi="Calibri" w:cs="Calibri"/>
        </w:rPr>
      </w:pPr>
      <w:r w:rsidRPr="004E306B">
        <w:rPr>
          <w:rFonts w:ascii="Calibri" w:hAnsi="Calibri" w:cs="Calibri"/>
        </w:rPr>
        <w:t>Antes das aplicações, a gestão do RPPS deverá verificar, no mínimo, aspectos como: enquadramento do produto quanto às exigências legais, seu histórico de rentabilidade, riscos e perspectiva de rentabilidade satisfatória no horizonte de tempo.</w:t>
      </w:r>
    </w:p>
    <w:p w14:paraId="4CDC4916" w14:textId="430BDEA3" w:rsidR="004E306B" w:rsidRPr="004E306B" w:rsidRDefault="004E306B" w:rsidP="004E306B">
      <w:pPr>
        <w:ind w:firstLine="708"/>
        <w:jc w:val="both"/>
        <w:rPr>
          <w:rFonts w:ascii="Calibri" w:hAnsi="Calibri" w:cs="Calibri"/>
        </w:rPr>
      </w:pPr>
      <w:r w:rsidRPr="004E306B">
        <w:rPr>
          <w:rFonts w:ascii="Calibri" w:hAnsi="Calibri" w:cs="Calibri"/>
        </w:rPr>
        <w:t xml:space="preserve">Todos os ativos e valores mobiliários adquiridos pelo RPPS deverão ser registrados nos Sistemas de Liquidação e Custódia: SELIC, </w:t>
      </w:r>
      <w:r w:rsidR="00977EA8">
        <w:rPr>
          <w:rFonts w:ascii="Calibri" w:hAnsi="Calibri" w:cs="Calibri"/>
        </w:rPr>
        <w:t>B3</w:t>
      </w:r>
      <w:r w:rsidRPr="004E306B">
        <w:rPr>
          <w:rFonts w:ascii="Calibri" w:hAnsi="Calibri" w:cs="Calibri"/>
        </w:rPr>
        <w:t xml:space="preserve"> ou Câmaras de Compensação autorizadas pela CVM. </w:t>
      </w:r>
    </w:p>
    <w:p w14:paraId="39ECBC71" w14:textId="77777777" w:rsidR="004E306B" w:rsidRPr="004E306B" w:rsidRDefault="004E306B" w:rsidP="004E306B">
      <w:pPr>
        <w:ind w:firstLine="708"/>
        <w:jc w:val="both"/>
        <w:rPr>
          <w:rFonts w:ascii="Calibri" w:hAnsi="Calibri" w:cs="Calibri"/>
        </w:rPr>
      </w:pPr>
      <w:r w:rsidRPr="004E306B">
        <w:rPr>
          <w:rFonts w:ascii="Calibri" w:hAnsi="Calibri" w:cs="Calibri"/>
        </w:rPr>
        <w:t>A gestão do RPPS sempre fará a comparação dos investimentos com a sua meta atuarial para identificar aqueles com rentabilidade insatisfatória, ou inadequação ao cenário econômico, visando possíveis indicações de solicitação de resgate.</w:t>
      </w:r>
    </w:p>
    <w:p w14:paraId="4A0600A9" w14:textId="3F6DDB9E" w:rsidR="004E306B" w:rsidRPr="004E306B" w:rsidRDefault="004E306B" w:rsidP="004E306B">
      <w:pPr>
        <w:ind w:firstLine="708"/>
        <w:jc w:val="both"/>
        <w:rPr>
          <w:rFonts w:ascii="Calibri" w:hAnsi="Calibri" w:cs="Calibri"/>
        </w:rPr>
      </w:pPr>
      <w:r w:rsidRPr="004E306B">
        <w:rPr>
          <w:rFonts w:ascii="Calibri" w:hAnsi="Calibri" w:cs="Calibri"/>
        </w:rPr>
        <w:t xml:space="preserve">Com base nas determinações da Portaria </w:t>
      </w:r>
      <w:r w:rsidR="00977EA8">
        <w:rPr>
          <w:rFonts w:ascii="Calibri" w:hAnsi="Calibri" w:cs="Calibri"/>
        </w:rPr>
        <w:t>MTP 1.467, de 02 de junho de 2022</w:t>
      </w:r>
      <w:r w:rsidRPr="004E306B">
        <w:rPr>
          <w:rFonts w:ascii="Calibri" w:hAnsi="Calibri" w:cs="Calibri"/>
        </w:rPr>
        <w:t>, foi instituído o Comitê de Investimentos no âmbito do RPPS, com a finalidade de participar no processo decisório quanto à formulação e execução da política de investimentos, resgates e aplicações dos recursos financeiros resultantes de repasses de contribuições previdenciárias dos órgãos patrocinadores, de servidores ativos, inativos e pensionistas, bem como de outras receitas do RPPS.</w:t>
      </w:r>
    </w:p>
    <w:p w14:paraId="6354236B" w14:textId="77777777" w:rsidR="004E306B" w:rsidRDefault="004E306B" w:rsidP="004E306B">
      <w:pPr>
        <w:ind w:firstLine="708"/>
        <w:jc w:val="both"/>
        <w:rPr>
          <w:rFonts w:ascii="Calibri" w:hAnsi="Calibri" w:cs="Calibri"/>
        </w:rPr>
      </w:pPr>
      <w:r w:rsidRPr="004E306B">
        <w:rPr>
          <w:rFonts w:ascii="Calibri" w:hAnsi="Calibri" w:cs="Calibri"/>
        </w:rPr>
        <w:t xml:space="preserve">Compete ao Comitê de Investimentos, orientar a aplicação dos recursos financeiros e a operacionalização da Política de Investimentos do RPPS. Ainda dentro de suas atribuições, é de sua competência: </w:t>
      </w:r>
    </w:p>
    <w:p w14:paraId="2DDF9969" w14:textId="77777777" w:rsidR="004E306B" w:rsidRPr="004E306B" w:rsidRDefault="004E306B" w:rsidP="004E306B">
      <w:pPr>
        <w:ind w:firstLine="708"/>
        <w:jc w:val="both"/>
        <w:rPr>
          <w:rFonts w:ascii="Calibri" w:hAnsi="Calibri" w:cs="Calibri"/>
        </w:rPr>
      </w:pPr>
    </w:p>
    <w:p w14:paraId="760D2D4E" w14:textId="77777777" w:rsidR="004E306B" w:rsidRPr="004E306B" w:rsidRDefault="004E306B" w:rsidP="004E306B">
      <w:pPr>
        <w:jc w:val="both"/>
        <w:rPr>
          <w:rFonts w:ascii="Calibri" w:hAnsi="Calibri" w:cs="Calibri"/>
        </w:rPr>
      </w:pPr>
      <w:r>
        <w:rPr>
          <w:rFonts w:ascii="Calibri" w:hAnsi="Calibri" w:cs="Calibri"/>
        </w:rPr>
        <w:t>I - G</w:t>
      </w:r>
      <w:r w:rsidRPr="004E306B">
        <w:rPr>
          <w:rFonts w:ascii="Calibri" w:hAnsi="Calibri" w:cs="Calibri"/>
        </w:rPr>
        <w:t>arantir o cumprimento da legislação e da política de investimentos;</w:t>
      </w:r>
    </w:p>
    <w:p w14:paraId="728FF335" w14:textId="77777777" w:rsidR="004E306B" w:rsidRPr="004E306B" w:rsidRDefault="004E306B" w:rsidP="004E306B">
      <w:pPr>
        <w:jc w:val="both"/>
        <w:rPr>
          <w:rFonts w:ascii="Calibri" w:hAnsi="Calibri" w:cs="Calibri"/>
        </w:rPr>
      </w:pPr>
      <w:r>
        <w:rPr>
          <w:rFonts w:ascii="Calibri" w:hAnsi="Calibri" w:cs="Calibri"/>
        </w:rPr>
        <w:t>II - A</w:t>
      </w:r>
      <w:r w:rsidRPr="004E306B">
        <w:rPr>
          <w:rFonts w:ascii="Calibri" w:hAnsi="Calibri" w:cs="Calibri"/>
        </w:rPr>
        <w:t>valiar a conveniência e adequação dos investimentos;</w:t>
      </w:r>
    </w:p>
    <w:p w14:paraId="17722B6C" w14:textId="77777777" w:rsidR="004E306B" w:rsidRPr="004E306B" w:rsidRDefault="004E306B" w:rsidP="004E306B">
      <w:pPr>
        <w:jc w:val="both"/>
        <w:rPr>
          <w:rFonts w:ascii="Calibri" w:hAnsi="Calibri" w:cs="Calibri"/>
        </w:rPr>
      </w:pPr>
      <w:r w:rsidRPr="004E306B">
        <w:rPr>
          <w:rFonts w:ascii="Calibri" w:hAnsi="Calibri" w:cs="Calibri"/>
        </w:rPr>
        <w:t xml:space="preserve">III - </w:t>
      </w:r>
      <w:r>
        <w:rPr>
          <w:rFonts w:ascii="Calibri" w:hAnsi="Calibri" w:cs="Calibri"/>
        </w:rPr>
        <w:t>M</w:t>
      </w:r>
      <w:r w:rsidRPr="004E306B">
        <w:rPr>
          <w:rFonts w:ascii="Calibri" w:hAnsi="Calibri" w:cs="Calibri"/>
        </w:rPr>
        <w:t>onitorar o grau de risco dos investimentos;</w:t>
      </w:r>
    </w:p>
    <w:p w14:paraId="11F888C2" w14:textId="5D731A15" w:rsidR="004E306B" w:rsidRPr="004E306B" w:rsidRDefault="004E306B" w:rsidP="004E306B">
      <w:pPr>
        <w:jc w:val="both"/>
        <w:rPr>
          <w:rFonts w:ascii="Calibri" w:hAnsi="Calibri" w:cs="Calibri"/>
        </w:rPr>
      </w:pPr>
      <w:r>
        <w:rPr>
          <w:rFonts w:ascii="Calibri" w:hAnsi="Calibri" w:cs="Calibri"/>
        </w:rPr>
        <w:t>IV - O</w:t>
      </w:r>
      <w:r w:rsidRPr="004E306B">
        <w:rPr>
          <w:rFonts w:ascii="Calibri" w:hAnsi="Calibri" w:cs="Calibri"/>
        </w:rPr>
        <w:t xml:space="preserve">bservar que a rentabilidade dos recursos </w:t>
      </w:r>
      <w:proofErr w:type="spellStart"/>
      <w:r w:rsidR="00AA1826">
        <w:rPr>
          <w:rFonts w:ascii="Calibri" w:hAnsi="Calibri" w:cs="Calibri"/>
        </w:rPr>
        <w:t>esteja</w:t>
      </w:r>
      <w:proofErr w:type="spellEnd"/>
      <w:r w:rsidRPr="004E306B">
        <w:rPr>
          <w:rFonts w:ascii="Calibri" w:hAnsi="Calibri" w:cs="Calibri"/>
        </w:rPr>
        <w:t xml:space="preserve"> de acordo com o nível de risco assumido pela entidade;</w:t>
      </w:r>
    </w:p>
    <w:p w14:paraId="06A328A3" w14:textId="77777777" w:rsidR="004E306B" w:rsidRPr="004E306B" w:rsidRDefault="004E306B" w:rsidP="004E306B">
      <w:pPr>
        <w:jc w:val="both"/>
        <w:rPr>
          <w:rFonts w:ascii="Calibri" w:hAnsi="Calibri" w:cs="Calibri"/>
        </w:rPr>
      </w:pPr>
      <w:r>
        <w:rPr>
          <w:rFonts w:ascii="Calibri" w:hAnsi="Calibri" w:cs="Calibri"/>
        </w:rPr>
        <w:t>V - G</w:t>
      </w:r>
      <w:r w:rsidRPr="004E306B">
        <w:rPr>
          <w:rFonts w:ascii="Calibri" w:hAnsi="Calibri" w:cs="Calibri"/>
        </w:rPr>
        <w:t>arantir a gestão ética e transparente dos recursos.</w:t>
      </w:r>
    </w:p>
    <w:p w14:paraId="3C5AA47F" w14:textId="77777777" w:rsidR="004E306B" w:rsidRDefault="004E306B" w:rsidP="004E306B">
      <w:pPr>
        <w:jc w:val="both"/>
        <w:rPr>
          <w:rFonts w:ascii="Calibri" w:hAnsi="Calibri" w:cs="Calibri"/>
        </w:rPr>
      </w:pPr>
    </w:p>
    <w:p w14:paraId="7C656736" w14:textId="77777777" w:rsidR="004E306B" w:rsidRPr="004E306B" w:rsidRDefault="004E306B" w:rsidP="004E306B">
      <w:pPr>
        <w:ind w:firstLine="708"/>
        <w:jc w:val="both"/>
        <w:rPr>
          <w:rFonts w:ascii="Calibri" w:hAnsi="Calibri" w:cs="Calibri"/>
        </w:rPr>
      </w:pPr>
      <w:r w:rsidRPr="004E306B">
        <w:rPr>
          <w:rFonts w:ascii="Calibri" w:hAnsi="Calibri" w:cs="Calibri"/>
        </w:rPr>
        <w:t>Sua atuação será pautada na avaliação das alternativas de investimentos com base nas expectativas quanto ao comportamento das variáveis econômicas e ficará limitada às determinações desta Política.</w:t>
      </w:r>
    </w:p>
    <w:p w14:paraId="593582F8" w14:textId="77777777" w:rsidR="00796525" w:rsidRDefault="00796525" w:rsidP="004E306B">
      <w:pPr>
        <w:ind w:firstLine="708"/>
        <w:jc w:val="both"/>
        <w:rPr>
          <w:rFonts w:ascii="Calibri" w:hAnsi="Calibri" w:cs="Calibri"/>
        </w:rPr>
      </w:pPr>
    </w:p>
    <w:p w14:paraId="2BA80CBC" w14:textId="77777777" w:rsidR="00326A1D" w:rsidRDefault="00326A1D" w:rsidP="004E306B">
      <w:pPr>
        <w:ind w:firstLine="708"/>
        <w:jc w:val="both"/>
        <w:rPr>
          <w:rFonts w:ascii="Calibri" w:hAnsi="Calibri" w:cs="Calibri"/>
        </w:rPr>
      </w:pPr>
    </w:p>
    <w:p w14:paraId="73AB0168" w14:textId="7AD29B60" w:rsidR="004E306B" w:rsidRPr="004E306B" w:rsidRDefault="004E306B" w:rsidP="004E306B">
      <w:pPr>
        <w:ind w:firstLine="708"/>
        <w:jc w:val="both"/>
        <w:rPr>
          <w:rFonts w:ascii="Calibri" w:hAnsi="Calibri" w:cs="Calibri"/>
        </w:rPr>
      </w:pPr>
      <w:r w:rsidRPr="004E306B">
        <w:rPr>
          <w:rFonts w:ascii="Calibri" w:hAnsi="Calibri" w:cs="Calibri"/>
        </w:rPr>
        <w:t xml:space="preserve">São avaliados pelos responsáveis pela gestão dos recursos do </w:t>
      </w:r>
      <w:r w:rsidR="0009034C" w:rsidRPr="0009034C">
        <w:rPr>
          <w:rFonts w:ascii="Calibri" w:hAnsi="Calibri" w:cs="Calibri"/>
          <w:b/>
        </w:rPr>
        <w:t>Fundo de Previdência Social do Município de Pires do Rio/GO</w:t>
      </w:r>
      <w:r w:rsidRPr="004E306B">
        <w:rPr>
          <w:rFonts w:ascii="Calibri" w:hAnsi="Calibri" w:cs="Calibri"/>
        </w:rPr>
        <w:t>, relatórios de acompanhamento das aplicações e operações de aquisição e venda de títulos, valores mobiliários e demais ativos alocados nos diversos segmentos de aplicação. Esse relatório será elaborado trimestralmente e terá como objetivo documentar e acompanhar a aplicação de seus recursos.</w:t>
      </w:r>
    </w:p>
    <w:p w14:paraId="0261E401" w14:textId="0930A6F9" w:rsidR="004E306B" w:rsidRPr="004E306B" w:rsidRDefault="004E306B" w:rsidP="004E306B">
      <w:pPr>
        <w:ind w:firstLine="708"/>
        <w:jc w:val="both"/>
        <w:rPr>
          <w:rFonts w:ascii="Calibri" w:hAnsi="Calibri" w:cs="Calibri"/>
        </w:rPr>
      </w:pPr>
      <w:r w:rsidRPr="004E306B">
        <w:rPr>
          <w:rFonts w:ascii="Calibri" w:hAnsi="Calibri" w:cs="Calibri"/>
        </w:rPr>
        <w:t>Os relatórios supracitados serão mantidos e colocad</w:t>
      </w:r>
      <w:r w:rsidR="00AA1826">
        <w:rPr>
          <w:rFonts w:ascii="Calibri" w:hAnsi="Calibri" w:cs="Calibri"/>
        </w:rPr>
        <w:t>os à disposição do Ministério do Trabalho e Previdência</w:t>
      </w:r>
      <w:r w:rsidRPr="004E306B">
        <w:rPr>
          <w:rFonts w:ascii="Calibri" w:hAnsi="Calibri" w:cs="Calibri"/>
        </w:rPr>
        <w:t xml:space="preserve">, Tribunal de Contas do Estado, </w:t>
      </w:r>
      <w:r w:rsidR="00AA1826">
        <w:rPr>
          <w:rFonts w:ascii="Calibri" w:hAnsi="Calibri" w:cs="Calibri"/>
        </w:rPr>
        <w:t>Órgão de Deliberação</w:t>
      </w:r>
      <w:r w:rsidRPr="004E306B">
        <w:rPr>
          <w:rFonts w:ascii="Calibri" w:hAnsi="Calibri" w:cs="Calibri"/>
        </w:rPr>
        <w:t xml:space="preserve"> e demais órgãos fiscalizadores.</w:t>
      </w:r>
    </w:p>
    <w:p w14:paraId="0074992A" w14:textId="77777777" w:rsidR="004E306B" w:rsidRPr="004E306B" w:rsidRDefault="004E306B" w:rsidP="004E306B">
      <w:pPr>
        <w:ind w:firstLine="708"/>
        <w:jc w:val="both"/>
        <w:rPr>
          <w:rFonts w:ascii="Calibri" w:hAnsi="Calibri" w:cs="Calibri"/>
        </w:rPr>
      </w:pPr>
      <w:r w:rsidRPr="004E306B">
        <w:rPr>
          <w:rFonts w:ascii="Calibri" w:hAnsi="Calibri" w:cs="Calibri"/>
        </w:rPr>
        <w:t>Caberá ao comitê de investimentos do RPPS acompanhar a Política de Investimentos e sua aderência legal analisando a efetiva aplicação dos seus dispositivos.</w:t>
      </w:r>
    </w:p>
    <w:p w14:paraId="1424867A" w14:textId="02A171CC" w:rsidR="004E306B" w:rsidRPr="004E306B" w:rsidRDefault="004E306B" w:rsidP="004E306B">
      <w:pPr>
        <w:ind w:firstLine="708"/>
        <w:jc w:val="both"/>
        <w:rPr>
          <w:rFonts w:ascii="Calibri" w:hAnsi="Calibri" w:cs="Calibri"/>
        </w:rPr>
      </w:pPr>
      <w:r w:rsidRPr="004E306B">
        <w:rPr>
          <w:rFonts w:ascii="Calibri" w:hAnsi="Calibri" w:cs="Calibri"/>
        </w:rPr>
        <w:t>As operações realizadas no mercado secundário (compra/venda de títulos públicos) deverão ser realizadas através de plataforma eletrônica autorizada que já atendem aos pré-requisitos para oferecer as rodas de negociação nos moldes exigidos pelo Tesouro Nacional e pelo Banco Central. O RPPS deverá ainda, realizar o acompanhamento de preços e taxas praticados em tais operações e compará-los aos preços e taxas utilizados como referência de mercado (ANBIMA).</w:t>
      </w:r>
    </w:p>
    <w:p w14:paraId="5847B2DB" w14:textId="77777777" w:rsidR="004E306B" w:rsidRPr="004E306B" w:rsidRDefault="004E306B" w:rsidP="004E306B">
      <w:pPr>
        <w:ind w:firstLine="708"/>
        <w:jc w:val="both"/>
        <w:rPr>
          <w:rFonts w:ascii="Calibri" w:hAnsi="Calibri" w:cs="Calibri"/>
        </w:rPr>
      </w:pPr>
      <w:r w:rsidRPr="004E306B">
        <w:rPr>
          <w:rFonts w:ascii="Calibri" w:hAnsi="Calibri" w:cs="Calibri"/>
        </w:rPr>
        <w:t>Dentro da vigência do contrato que o RPPS mantém com a empresa de consultoria de investimentos, está contemplada a consulta às oportunidades de investimentos a serem realizados no âmbito desta política de investimentos.</w:t>
      </w:r>
    </w:p>
    <w:p w14:paraId="51A55FA5" w14:textId="77777777" w:rsidR="004E306B" w:rsidRPr="004E306B" w:rsidRDefault="004E306B" w:rsidP="004E306B">
      <w:pPr>
        <w:ind w:firstLine="708"/>
        <w:jc w:val="both"/>
        <w:rPr>
          <w:rFonts w:ascii="Calibri" w:hAnsi="Calibri" w:cs="Calibri"/>
        </w:rPr>
      </w:pPr>
      <w:r w:rsidRPr="004E306B">
        <w:rPr>
          <w:rFonts w:ascii="Calibri" w:hAnsi="Calibri" w:cs="Calibri"/>
        </w:rPr>
        <w:t xml:space="preserve">É importante ressaltar que, seja qual for à alocação de ativos, o mercado poderá apresentar períodos adversos, que poderão afetar ao menos parte da carteira. Portanto, é imperativo observar um horizonte de tempo que possa ajustar essas flutuações e permitir a recuperação da ocorrência de ocasionais perdas. Desta forma, o RPPS deve manter-se fiel à política de investimentos definida originalmente a partir do seu perfil de risco. </w:t>
      </w:r>
    </w:p>
    <w:p w14:paraId="5053120F" w14:textId="77777777" w:rsidR="004E306B" w:rsidRPr="004E306B" w:rsidRDefault="004E306B" w:rsidP="004E306B">
      <w:pPr>
        <w:ind w:firstLine="708"/>
        <w:jc w:val="both"/>
        <w:rPr>
          <w:rFonts w:ascii="Calibri" w:hAnsi="Calibri" w:cs="Calibri"/>
        </w:rPr>
      </w:pPr>
      <w:r w:rsidRPr="004E306B">
        <w:rPr>
          <w:rFonts w:ascii="Calibri" w:hAnsi="Calibri" w:cs="Calibri"/>
        </w:rPr>
        <w:t>E, de forma organizada, remanejar a alocação inicial em momentos de alta (vendendo) ou baixa (comprando) com o objetivo de rebalancear sua carteira de investimentos. Três virtudes básicas de um bom investidor são fundamentais: disciplina, paciência e diversificação.</w:t>
      </w:r>
    </w:p>
    <w:p w14:paraId="1DE8B07A" w14:textId="77777777" w:rsidR="004E306B" w:rsidRPr="004E306B" w:rsidRDefault="004E306B" w:rsidP="004E306B">
      <w:pPr>
        <w:ind w:firstLine="708"/>
        <w:jc w:val="both"/>
        <w:rPr>
          <w:rFonts w:ascii="Calibri" w:hAnsi="Calibri" w:cs="Calibri"/>
        </w:rPr>
      </w:pPr>
      <w:r w:rsidRPr="004E306B">
        <w:rPr>
          <w:rFonts w:ascii="Calibri" w:hAnsi="Calibri" w:cs="Calibri"/>
        </w:rPr>
        <w:t>As aplicações realizadas pelo RPPS passarão por um processo de análise, para o qual serão utilizadas algumas ferramentas disponíveis no mercado, como o histórico de cotas de fundos de investimentos, abertura de carteira de investimentos, informações de mercado on-line, pesquisa em sites institucionais e outras.</w:t>
      </w:r>
    </w:p>
    <w:p w14:paraId="02C708CC" w14:textId="78121E6C" w:rsidR="004E306B" w:rsidRDefault="004E306B" w:rsidP="004E306B">
      <w:pPr>
        <w:ind w:firstLine="708"/>
        <w:jc w:val="both"/>
        <w:rPr>
          <w:rFonts w:ascii="Calibri" w:hAnsi="Calibri" w:cs="Calibri"/>
        </w:rPr>
      </w:pPr>
      <w:r w:rsidRPr="004E306B">
        <w:rPr>
          <w:rFonts w:ascii="Calibri" w:hAnsi="Calibri" w:cs="Calibri"/>
        </w:rPr>
        <w:t xml:space="preserve">Além de estudar o regulamento e o prospecto dos fundos de investimentos, será feita uma análise do gestor/administrador e da taxa de administração cobrada, dentre outros critérios. Os investimentos serão constantemente avaliados através de acompanhamento de desempenho, da abertura da composição das carteiras e avaliações de ativos. </w:t>
      </w:r>
    </w:p>
    <w:p w14:paraId="6A26198F" w14:textId="77777777" w:rsidR="00AB18AE" w:rsidRPr="004E306B" w:rsidRDefault="00AB18AE" w:rsidP="004E306B">
      <w:pPr>
        <w:ind w:firstLine="708"/>
        <w:jc w:val="both"/>
        <w:rPr>
          <w:rFonts w:ascii="Calibri" w:hAnsi="Calibri" w:cs="Calibri"/>
        </w:rPr>
      </w:pPr>
    </w:p>
    <w:p w14:paraId="28A930BC" w14:textId="77777777" w:rsidR="00796525" w:rsidRDefault="00796525" w:rsidP="004E306B">
      <w:pPr>
        <w:ind w:firstLine="708"/>
        <w:jc w:val="both"/>
        <w:rPr>
          <w:rFonts w:ascii="Calibri" w:hAnsi="Calibri" w:cs="Calibri"/>
        </w:rPr>
      </w:pPr>
    </w:p>
    <w:p w14:paraId="70B7324D" w14:textId="77777777" w:rsidR="004E306B" w:rsidRDefault="004E306B" w:rsidP="002A4D5F">
      <w:pPr>
        <w:pStyle w:val="Ttulo1"/>
        <w:numPr>
          <w:ilvl w:val="0"/>
          <w:numId w:val="10"/>
        </w:numPr>
      </w:pPr>
      <w:bookmarkStart w:id="27" w:name="_Toc180593272"/>
      <w:r>
        <w:t>DISPOSIÇÕES GERAIS</w:t>
      </w:r>
      <w:bookmarkEnd w:id="27"/>
    </w:p>
    <w:p w14:paraId="3F11B992" w14:textId="77777777" w:rsidR="004E306B" w:rsidRDefault="004E306B" w:rsidP="004E306B">
      <w:pPr>
        <w:jc w:val="both"/>
        <w:rPr>
          <w:rFonts w:ascii="Calibri" w:hAnsi="Calibri" w:cs="Calibri"/>
        </w:rPr>
      </w:pPr>
    </w:p>
    <w:p w14:paraId="2608EAC9" w14:textId="57B53BE7" w:rsidR="004E306B" w:rsidRPr="004E306B" w:rsidRDefault="004E306B" w:rsidP="00FA2FCC">
      <w:pPr>
        <w:ind w:firstLine="708"/>
        <w:jc w:val="both"/>
        <w:rPr>
          <w:rFonts w:ascii="Calibri" w:hAnsi="Calibri" w:cs="Calibri"/>
        </w:rPr>
      </w:pPr>
      <w:r w:rsidRPr="004E306B">
        <w:rPr>
          <w:rFonts w:ascii="Calibri" w:hAnsi="Calibri" w:cs="Calibri"/>
        </w:rPr>
        <w:t xml:space="preserve">A presente Política de Investimentos poderá ser revista no curso de sua execução e monitorada no curto prazo, a contar da data de sua aprovação pelo órgão </w:t>
      </w:r>
      <w:r w:rsidR="00696EE8">
        <w:rPr>
          <w:rFonts w:ascii="Calibri" w:hAnsi="Calibri" w:cs="Calibri"/>
        </w:rPr>
        <w:t xml:space="preserve">de deliberação colegiada </w:t>
      </w:r>
      <w:r w:rsidRPr="004E306B">
        <w:rPr>
          <w:rFonts w:ascii="Calibri" w:hAnsi="Calibri" w:cs="Calibri"/>
        </w:rPr>
        <w:t>competente do RPPS, sendo que o prazo de val</w:t>
      </w:r>
      <w:r w:rsidR="004C4100">
        <w:rPr>
          <w:rFonts w:ascii="Calibri" w:hAnsi="Calibri" w:cs="Calibri"/>
        </w:rPr>
        <w:t>idade compreenderá o ano de 202</w:t>
      </w:r>
      <w:r w:rsidR="00AA1826">
        <w:rPr>
          <w:rFonts w:ascii="Calibri" w:hAnsi="Calibri" w:cs="Calibri"/>
        </w:rPr>
        <w:t>5</w:t>
      </w:r>
      <w:r w:rsidRPr="004E306B">
        <w:rPr>
          <w:rFonts w:ascii="Calibri" w:hAnsi="Calibri" w:cs="Calibri"/>
        </w:rPr>
        <w:t>.</w:t>
      </w:r>
    </w:p>
    <w:p w14:paraId="3F23E534" w14:textId="62B8E0B6" w:rsidR="004E306B" w:rsidRPr="004E306B" w:rsidRDefault="004E306B" w:rsidP="00FA2FCC">
      <w:pPr>
        <w:ind w:firstLine="708"/>
        <w:jc w:val="both"/>
        <w:rPr>
          <w:rFonts w:ascii="Calibri" w:hAnsi="Calibri" w:cs="Calibri"/>
        </w:rPr>
      </w:pPr>
      <w:r w:rsidRPr="004E306B">
        <w:rPr>
          <w:rFonts w:ascii="Calibri" w:hAnsi="Calibri" w:cs="Calibri"/>
        </w:rPr>
        <w:t>Reuniões e</w:t>
      </w:r>
      <w:r w:rsidR="00AA1826">
        <w:rPr>
          <w:rFonts w:ascii="Calibri" w:hAnsi="Calibri" w:cs="Calibri"/>
        </w:rPr>
        <w:t>xtraordinárias junto ao órgão deliberativo máximo</w:t>
      </w:r>
      <w:r w:rsidRPr="004E306B">
        <w:rPr>
          <w:rFonts w:ascii="Calibri" w:hAnsi="Calibri" w:cs="Calibri"/>
        </w:rPr>
        <w:t xml:space="preserve"> do RPPS serão realizadas sempre que houver necessidade de ajustes nesta política de investimentos perante o comportamento/conjuntura do mercado, quando se apresentar o interesse da preservação dos ativos financeiros e/ou com vistas à adequação à nova legislação.</w:t>
      </w:r>
    </w:p>
    <w:p w14:paraId="5F1CE0F8" w14:textId="2DAEF6B7" w:rsidR="004E306B" w:rsidRPr="004E306B" w:rsidRDefault="004E306B" w:rsidP="00FA2FCC">
      <w:pPr>
        <w:ind w:firstLine="708"/>
        <w:jc w:val="both"/>
        <w:rPr>
          <w:rFonts w:ascii="Calibri" w:hAnsi="Calibri" w:cs="Calibri"/>
        </w:rPr>
      </w:pPr>
      <w:r w:rsidRPr="004E306B">
        <w:rPr>
          <w:rFonts w:ascii="Calibri" w:hAnsi="Calibri" w:cs="Calibri"/>
        </w:rPr>
        <w:t xml:space="preserve">Deverão estar certificados os responsáveis pelo acompanhamento e operacionalização dos investimentos do RPPS, através de exame de certificação organizado por entidade autônoma de reconhecida capacidade técnica e difusão no mercado brasileiro de capitais, cujo conteúdo abrangerá, no mínimo, o </w:t>
      </w:r>
      <w:r w:rsidR="000435E4">
        <w:rPr>
          <w:rFonts w:ascii="Calibri" w:hAnsi="Calibri" w:cs="Calibri"/>
        </w:rPr>
        <w:t>contido no anexo a Portaria SPRT/ME nº 9.907, de 14 de abril de 2020</w:t>
      </w:r>
      <w:r w:rsidRPr="004E306B">
        <w:rPr>
          <w:rFonts w:ascii="Calibri" w:hAnsi="Calibri" w:cs="Calibri"/>
        </w:rPr>
        <w:t xml:space="preserve">. </w:t>
      </w:r>
    </w:p>
    <w:p w14:paraId="71EF6534" w14:textId="77777777" w:rsidR="004E306B" w:rsidRPr="004E306B" w:rsidRDefault="004E306B" w:rsidP="00FA2FCC">
      <w:pPr>
        <w:ind w:firstLine="708"/>
        <w:jc w:val="both"/>
        <w:rPr>
          <w:rFonts w:ascii="Calibri" w:hAnsi="Calibri" w:cs="Calibri"/>
        </w:rPr>
      </w:pPr>
      <w:r w:rsidRPr="004E306B">
        <w:rPr>
          <w:rFonts w:ascii="Calibri" w:hAnsi="Calibri" w:cs="Calibri"/>
        </w:rPr>
        <w:t xml:space="preserve">A comprovação da habilitação ocorrerá mediante o preenchimento dos campos específicos constantes do Demonstrativo da Política de Investimentos - DPIN e do Demonstrativo de Aplicações e Investimentos dos Recursos - DAIR. </w:t>
      </w:r>
    </w:p>
    <w:p w14:paraId="080A774D" w14:textId="77777777" w:rsidR="004E306B" w:rsidRPr="004E306B" w:rsidRDefault="004E306B" w:rsidP="00FA2FCC">
      <w:pPr>
        <w:ind w:firstLine="708"/>
        <w:jc w:val="both"/>
        <w:rPr>
          <w:rFonts w:ascii="Calibri" w:hAnsi="Calibri" w:cs="Calibri"/>
        </w:rPr>
      </w:pPr>
      <w:r w:rsidRPr="004E306B">
        <w:rPr>
          <w:rFonts w:ascii="Calibri" w:hAnsi="Calibri" w:cs="Calibri"/>
        </w:rPr>
        <w:t>As Instituições Financeiras que operem e que venham a operar com o RPPS poderão, a título institucional, oferecer apoio técnico através de cursos, seminários e workshops ministrados por profissionais de mercado e/ou funcionários das Instituições para capacitação de servidores e membros dos órgãos colegiados do RPPS; bem como, contraprestação de serviços e projetos de iniciativa do RPPS, sem que haja ônus ou compromisso vinculados aos produtos de investimentos.</w:t>
      </w:r>
    </w:p>
    <w:p w14:paraId="148F7EBF" w14:textId="77777777" w:rsidR="004E306B" w:rsidRPr="004E306B" w:rsidRDefault="004E306B" w:rsidP="00CC7BDC">
      <w:pPr>
        <w:ind w:firstLine="708"/>
        <w:jc w:val="both"/>
        <w:rPr>
          <w:rFonts w:ascii="Calibri" w:hAnsi="Calibri" w:cs="Calibri"/>
        </w:rPr>
      </w:pPr>
      <w:r w:rsidRPr="004E306B">
        <w:rPr>
          <w:rFonts w:ascii="Calibri" w:hAnsi="Calibri" w:cs="Calibri"/>
        </w:rPr>
        <w:t>Ressalvadas situações especiais a serem avaliadas pelo Comitê de Investimentos do RPPS (tais como fundos fechados, fundos abertos com prazos de captação limitados), os fundos elegíveis para alocação deverão apresentar série histórica de, no mínimo, 6 (seis) meses, contados da data de início de funcionamento do fundo.</w:t>
      </w:r>
    </w:p>
    <w:p w14:paraId="5FFE1A96" w14:textId="22913365" w:rsidR="004E306B" w:rsidRPr="004E306B" w:rsidRDefault="004E306B" w:rsidP="00CC7BDC">
      <w:pPr>
        <w:ind w:firstLine="708"/>
        <w:jc w:val="both"/>
        <w:rPr>
          <w:rFonts w:ascii="Calibri" w:hAnsi="Calibri" w:cs="Calibri"/>
        </w:rPr>
      </w:pPr>
      <w:r w:rsidRPr="004E306B">
        <w:rPr>
          <w:rFonts w:ascii="Calibri" w:hAnsi="Calibri" w:cs="Calibri"/>
        </w:rPr>
        <w:t>Casos omissos nesta Política de Investimentos remetem-se à Resolução</w:t>
      </w:r>
      <w:r w:rsidR="00420C2B">
        <w:rPr>
          <w:rFonts w:ascii="Calibri" w:hAnsi="Calibri" w:cs="Calibri"/>
        </w:rPr>
        <w:t xml:space="preserve"> CMN n° 4.963/2021</w:t>
      </w:r>
      <w:r w:rsidRPr="004E306B">
        <w:rPr>
          <w:rFonts w:ascii="Calibri" w:hAnsi="Calibri" w:cs="Calibri"/>
        </w:rPr>
        <w:t xml:space="preserve"> e à Porta</w:t>
      </w:r>
      <w:r w:rsidR="00185A8A">
        <w:rPr>
          <w:rFonts w:ascii="Calibri" w:hAnsi="Calibri" w:cs="Calibri"/>
        </w:rPr>
        <w:t>ria MTP nº 1.467, de 02 de junho de 2022</w:t>
      </w:r>
      <w:r w:rsidRPr="004E306B">
        <w:rPr>
          <w:rFonts w:ascii="Calibri" w:hAnsi="Calibri" w:cs="Calibri"/>
        </w:rPr>
        <w:t>.</w:t>
      </w:r>
    </w:p>
    <w:p w14:paraId="324EC4FC" w14:textId="77777777" w:rsidR="004E306B" w:rsidRPr="004E306B" w:rsidRDefault="004E306B" w:rsidP="00CC7BDC">
      <w:pPr>
        <w:ind w:firstLine="708"/>
        <w:jc w:val="both"/>
        <w:rPr>
          <w:rFonts w:ascii="Calibri" w:hAnsi="Calibri" w:cs="Calibri"/>
        </w:rPr>
      </w:pPr>
      <w:r w:rsidRPr="004E306B">
        <w:rPr>
          <w:rFonts w:ascii="Calibri" w:hAnsi="Calibri" w:cs="Calibri"/>
        </w:rPr>
        <w:t>É parte integrante desta Política de Investimentos, cópia da Ata do órgão superior competente que aprova o presente instrumento, devidamente assinada por seus membros.</w:t>
      </w:r>
    </w:p>
    <w:p w14:paraId="12E7BEE2" w14:textId="77777777" w:rsidR="00CC7BDC" w:rsidRDefault="00CC7BDC" w:rsidP="004E306B">
      <w:pPr>
        <w:jc w:val="both"/>
        <w:rPr>
          <w:rFonts w:ascii="Calibri" w:hAnsi="Calibri" w:cs="Calibri"/>
        </w:rPr>
      </w:pPr>
    </w:p>
    <w:p w14:paraId="5F929494" w14:textId="77777777" w:rsidR="001F2FFC" w:rsidRDefault="001F2FFC" w:rsidP="004E306B">
      <w:pPr>
        <w:jc w:val="both"/>
        <w:rPr>
          <w:rFonts w:ascii="Calibri" w:hAnsi="Calibri" w:cs="Calibri"/>
        </w:rPr>
      </w:pPr>
    </w:p>
    <w:p w14:paraId="155ADF9D" w14:textId="77777777" w:rsidR="001F2FFC" w:rsidRDefault="001F2FFC" w:rsidP="004E306B">
      <w:pPr>
        <w:jc w:val="both"/>
        <w:rPr>
          <w:rFonts w:ascii="Calibri" w:hAnsi="Calibri" w:cs="Calibri"/>
        </w:rPr>
      </w:pPr>
    </w:p>
    <w:p w14:paraId="5A414873" w14:textId="77777777" w:rsidR="001F2FFC" w:rsidRDefault="001F2FFC" w:rsidP="004E306B">
      <w:pPr>
        <w:jc w:val="both"/>
        <w:rPr>
          <w:rFonts w:ascii="Calibri" w:hAnsi="Calibri" w:cs="Calibri"/>
        </w:rPr>
      </w:pPr>
    </w:p>
    <w:p w14:paraId="15854962" w14:textId="0491FCD3" w:rsidR="00CC7BDC" w:rsidRDefault="004E306B" w:rsidP="004E306B">
      <w:pPr>
        <w:pStyle w:val="PargrafodaLista"/>
        <w:numPr>
          <w:ilvl w:val="0"/>
          <w:numId w:val="8"/>
        </w:numPr>
        <w:jc w:val="both"/>
        <w:rPr>
          <w:rFonts w:ascii="Calibri" w:hAnsi="Calibri" w:cs="Calibri"/>
        </w:rPr>
      </w:pPr>
      <w:r w:rsidRPr="00CC7BDC">
        <w:rPr>
          <w:rFonts w:ascii="Calibri" w:hAnsi="Calibri" w:cs="Calibri"/>
        </w:rPr>
        <w:t>O</w:t>
      </w:r>
      <w:r w:rsidR="00185A8A">
        <w:rPr>
          <w:rFonts w:ascii="Calibri" w:hAnsi="Calibri" w:cs="Calibri"/>
        </w:rPr>
        <w:t>bservação: Conforme Portaria MTP nº 1.467</w:t>
      </w:r>
      <w:r w:rsidRPr="00CC7BDC">
        <w:rPr>
          <w:rFonts w:ascii="Calibri" w:hAnsi="Calibri" w:cs="Calibri"/>
        </w:rPr>
        <w:t>, d</w:t>
      </w:r>
      <w:r w:rsidR="00185A8A">
        <w:rPr>
          <w:rFonts w:ascii="Calibri" w:hAnsi="Calibri" w:cs="Calibri"/>
        </w:rPr>
        <w:t>e 02 de junho de 2022</w:t>
      </w:r>
      <w:r w:rsidRPr="00CC7BDC">
        <w:rPr>
          <w:rFonts w:ascii="Calibri" w:hAnsi="Calibri" w:cs="Calibri"/>
        </w:rPr>
        <w:t>, este documento deverá ser assinado:</w:t>
      </w:r>
    </w:p>
    <w:p w14:paraId="355CF3C4" w14:textId="77777777" w:rsidR="001F2FFC" w:rsidRDefault="001F2FFC" w:rsidP="001F2FFC">
      <w:pPr>
        <w:pStyle w:val="PargrafodaLista"/>
        <w:jc w:val="both"/>
        <w:rPr>
          <w:rFonts w:ascii="Calibri" w:hAnsi="Calibri" w:cs="Calibri"/>
        </w:rPr>
      </w:pPr>
    </w:p>
    <w:p w14:paraId="4A0084C3" w14:textId="77777777" w:rsidR="00CC7BDC" w:rsidRDefault="004E306B" w:rsidP="004E306B">
      <w:pPr>
        <w:pStyle w:val="PargrafodaLista"/>
        <w:numPr>
          <w:ilvl w:val="1"/>
          <w:numId w:val="8"/>
        </w:numPr>
        <w:jc w:val="both"/>
        <w:rPr>
          <w:rFonts w:ascii="Calibri" w:hAnsi="Calibri" w:cs="Calibri"/>
        </w:rPr>
      </w:pPr>
      <w:r w:rsidRPr="00CC7BDC">
        <w:rPr>
          <w:rFonts w:ascii="Calibri" w:hAnsi="Calibri" w:cs="Calibri"/>
        </w:rPr>
        <w:t>Pelo representante do ente federativo;</w:t>
      </w:r>
    </w:p>
    <w:p w14:paraId="10F20F86" w14:textId="77777777" w:rsidR="00CC7BDC" w:rsidRDefault="004E306B" w:rsidP="004E306B">
      <w:pPr>
        <w:pStyle w:val="PargrafodaLista"/>
        <w:numPr>
          <w:ilvl w:val="1"/>
          <w:numId w:val="8"/>
        </w:numPr>
        <w:jc w:val="both"/>
        <w:rPr>
          <w:rFonts w:ascii="Calibri" w:hAnsi="Calibri" w:cs="Calibri"/>
        </w:rPr>
      </w:pPr>
      <w:r w:rsidRPr="00CC7BDC">
        <w:rPr>
          <w:rFonts w:ascii="Calibri" w:hAnsi="Calibri" w:cs="Calibri"/>
        </w:rPr>
        <w:t>Pelo representante da unidade gestora do RPPS;</w:t>
      </w:r>
    </w:p>
    <w:p w14:paraId="314A43A0" w14:textId="77777777" w:rsidR="004E306B" w:rsidRPr="00CC7BDC" w:rsidRDefault="004E306B" w:rsidP="004E306B">
      <w:pPr>
        <w:pStyle w:val="PargrafodaLista"/>
        <w:numPr>
          <w:ilvl w:val="1"/>
          <w:numId w:val="8"/>
        </w:numPr>
        <w:jc w:val="both"/>
        <w:rPr>
          <w:rFonts w:ascii="Calibri" w:hAnsi="Calibri" w:cs="Calibri"/>
        </w:rPr>
      </w:pPr>
      <w:r w:rsidRPr="00CC7BDC">
        <w:rPr>
          <w:rFonts w:ascii="Calibri" w:hAnsi="Calibri" w:cs="Calibri"/>
        </w:rPr>
        <w:t>Pelos responsáveis pela elaboração, aprovação e execução desta Política de Investimentos.</w:t>
      </w:r>
      <w:r w:rsidRPr="00CC7BDC">
        <w:rPr>
          <w:rFonts w:ascii="Calibri" w:hAnsi="Calibri" w:cs="Calibri"/>
        </w:rPr>
        <w:t> </w:t>
      </w:r>
    </w:p>
    <w:sectPr w:rsidR="004E306B" w:rsidRPr="00CC7BDC" w:rsidSect="00873953">
      <w:headerReference w:type="default" r:id="rId28"/>
      <w:footerReference w:type="default" r:id="rId29"/>
      <w:pgSz w:w="11906" w:h="16838"/>
      <w:pgMar w:top="1417" w:right="1701" w:bottom="1417" w:left="1701"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4C679B" w14:textId="77777777" w:rsidR="00F84129" w:rsidRDefault="00F84129" w:rsidP="006722F4">
      <w:pPr>
        <w:spacing w:after="0" w:line="240" w:lineRule="auto"/>
      </w:pPr>
      <w:r>
        <w:separator/>
      </w:r>
    </w:p>
  </w:endnote>
  <w:endnote w:type="continuationSeparator" w:id="0">
    <w:p w14:paraId="668EDF8C" w14:textId="77777777" w:rsidR="00F84129" w:rsidRDefault="00F84129" w:rsidP="006722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CellMar>
        <w:top w:w="72" w:type="dxa"/>
        <w:left w:w="115" w:type="dxa"/>
        <w:bottom w:w="72" w:type="dxa"/>
        <w:right w:w="115" w:type="dxa"/>
      </w:tblCellMar>
      <w:tblLook w:val="04A0" w:firstRow="1" w:lastRow="0" w:firstColumn="1" w:lastColumn="0" w:noHBand="0" w:noVBand="1"/>
    </w:tblPr>
    <w:tblGrid>
      <w:gridCol w:w="850"/>
      <w:gridCol w:w="7654"/>
    </w:tblGrid>
    <w:tr w:rsidR="00BA3D57" w14:paraId="2AD12CF9" w14:textId="77777777" w:rsidTr="00BE3389">
      <w:tc>
        <w:tcPr>
          <w:tcW w:w="500" w:type="pct"/>
          <w:tcBorders>
            <w:top w:val="single" w:sz="4" w:space="0" w:color="988207" w:themeColor="accent2" w:themeShade="BF"/>
          </w:tcBorders>
          <w:shd w:val="clear" w:color="auto" w:fill="3F4247" w:themeFill="accent6" w:themeFillShade="80"/>
        </w:tcPr>
        <w:p w14:paraId="5113959C" w14:textId="5A3AAC9E" w:rsidR="00BA3D57" w:rsidRDefault="00BA3D57">
          <w:pPr>
            <w:pStyle w:val="Rodap"/>
            <w:jc w:val="right"/>
            <w:rPr>
              <w:b/>
              <w:bCs/>
              <w:color w:val="FFFFFF" w:themeColor="background1"/>
            </w:rPr>
          </w:pPr>
          <w:r>
            <w:fldChar w:fldCharType="begin"/>
          </w:r>
          <w:r>
            <w:instrText>PAGE   \* MERGEFORMAT</w:instrText>
          </w:r>
          <w:r>
            <w:fldChar w:fldCharType="separate"/>
          </w:r>
          <w:r w:rsidR="00E02D9E" w:rsidRPr="00E02D9E">
            <w:rPr>
              <w:noProof/>
              <w:color w:val="FFFFFF" w:themeColor="background1"/>
            </w:rPr>
            <w:t>30</w:t>
          </w:r>
          <w:r>
            <w:rPr>
              <w:color w:val="FFFFFF" w:themeColor="background1"/>
            </w:rPr>
            <w:fldChar w:fldCharType="end"/>
          </w:r>
        </w:p>
        <w:p w14:paraId="775F4FBE" w14:textId="77777777" w:rsidR="00BA3D57" w:rsidRPr="00BE3389" w:rsidRDefault="00BA3D57" w:rsidP="00BE3389"/>
      </w:tc>
      <w:tc>
        <w:tcPr>
          <w:tcW w:w="4500" w:type="pct"/>
          <w:tcBorders>
            <w:top w:val="single" w:sz="4" w:space="0" w:color="auto"/>
          </w:tcBorders>
        </w:tcPr>
        <w:p w14:paraId="1E833691" w14:textId="4CD72A35" w:rsidR="00BA3D57" w:rsidRPr="006722F4" w:rsidRDefault="00BA3D57" w:rsidP="00840B67">
          <w:pPr>
            <w:pStyle w:val="Rodap"/>
            <w:jc w:val="right"/>
            <w:rPr>
              <w:sz w:val="20"/>
            </w:rPr>
          </w:pPr>
          <w:r>
            <w:rPr>
              <w:sz w:val="20"/>
            </w:rPr>
            <w:t>Política de Investimentos - 2025</w:t>
          </w:r>
        </w:p>
      </w:tc>
    </w:tr>
  </w:tbl>
  <w:p w14:paraId="35B70D32" w14:textId="77777777" w:rsidR="00BA3D57" w:rsidRDefault="00BA3D57">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B8709B" w14:textId="77777777" w:rsidR="00F84129" w:rsidRDefault="00F84129" w:rsidP="006722F4">
      <w:pPr>
        <w:spacing w:after="0" w:line="240" w:lineRule="auto"/>
      </w:pPr>
      <w:r>
        <w:separator/>
      </w:r>
    </w:p>
  </w:footnote>
  <w:footnote w:type="continuationSeparator" w:id="0">
    <w:p w14:paraId="699CC0FE" w14:textId="77777777" w:rsidR="00F84129" w:rsidRDefault="00F84129" w:rsidP="006722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D57411" w14:textId="65217313" w:rsidR="00BA3D57" w:rsidRDefault="00BA3D57" w:rsidP="006722F4">
    <w:pPr>
      <w:pStyle w:val="Cabealho"/>
      <w:jc w:val="center"/>
    </w:pPr>
    <w:r>
      <w:rPr>
        <w:noProof/>
        <w:lang w:eastAsia="pt-BR"/>
      </w:rPr>
      <w:drawing>
        <wp:inline distT="0" distB="0" distL="0" distR="0" wp14:anchorId="4F48843B" wp14:editId="4E800E71">
          <wp:extent cx="1135335" cy="334096"/>
          <wp:effectExtent l="0" t="0" r="8255" b="8890"/>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35335" cy="33409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81701"/>
    <w:multiLevelType w:val="hybridMultilevel"/>
    <w:tmpl w:val="6B9CB9A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DA51281"/>
    <w:multiLevelType w:val="hybridMultilevel"/>
    <w:tmpl w:val="20A2364C"/>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1B756F3"/>
    <w:multiLevelType w:val="hybridMultilevel"/>
    <w:tmpl w:val="FD7286AA"/>
    <w:lvl w:ilvl="0" w:tplc="04160013">
      <w:start w:val="1"/>
      <w:numFmt w:val="upperRoman"/>
      <w:lvlText w:val="%1."/>
      <w:lvlJc w:val="right"/>
      <w:pPr>
        <w:ind w:left="720" w:hanging="360"/>
      </w:pPr>
      <w:rPr>
        <w:rFonts w:hint="default"/>
        <w:b w:val="0"/>
        <w:u w:val="none"/>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17E97109"/>
    <w:multiLevelType w:val="hybridMultilevel"/>
    <w:tmpl w:val="5FBAE6F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A067BC0"/>
    <w:multiLevelType w:val="multilevel"/>
    <w:tmpl w:val="445E57F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A364BA0"/>
    <w:multiLevelType w:val="hybridMultilevel"/>
    <w:tmpl w:val="FB0A337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AAF5048"/>
    <w:multiLevelType w:val="hybridMultilevel"/>
    <w:tmpl w:val="66CABBB2"/>
    <w:lvl w:ilvl="0" w:tplc="04160013">
      <w:start w:val="1"/>
      <w:numFmt w:val="upperRoman"/>
      <w:lvlText w:val="%1."/>
      <w:lvlJc w:val="right"/>
      <w:pPr>
        <w:ind w:left="720" w:hanging="360"/>
      </w:pPr>
      <w:rPr>
        <w:rFonts w:hint="default"/>
        <w:b w:val="0"/>
        <w:u w:val="none"/>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1BF07E57"/>
    <w:multiLevelType w:val="hybridMultilevel"/>
    <w:tmpl w:val="380EC226"/>
    <w:lvl w:ilvl="0" w:tplc="D3A01F24">
      <w:start w:val="4"/>
      <w:numFmt w:val="bullet"/>
      <w:lvlText w:val=""/>
      <w:lvlJc w:val="left"/>
      <w:pPr>
        <w:ind w:left="720" w:hanging="360"/>
      </w:pPr>
      <w:rPr>
        <w:rFonts w:ascii="Symbol" w:eastAsiaTheme="minorHAnsi" w:hAnsi="Symbol" w:cs="Calibri" w:hint="default"/>
        <w:b w:val="0"/>
        <w:u w:val="none"/>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216F533B"/>
    <w:multiLevelType w:val="hybridMultilevel"/>
    <w:tmpl w:val="8C2634F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5F02910"/>
    <w:multiLevelType w:val="hybridMultilevel"/>
    <w:tmpl w:val="185E348C"/>
    <w:lvl w:ilvl="0" w:tplc="3E849ED6">
      <w:start w:val="1"/>
      <w:numFmt w:val="bullet"/>
      <w:lvlText w:val=""/>
      <w:lvlJc w:val="left"/>
      <w:pPr>
        <w:ind w:left="-207" w:hanging="360"/>
      </w:pPr>
      <w:rPr>
        <w:rFonts w:ascii="Symbol" w:eastAsiaTheme="minorHAnsi" w:hAnsi="Symbol" w:cstheme="minorHAnsi" w:hint="default"/>
      </w:rPr>
    </w:lvl>
    <w:lvl w:ilvl="1" w:tplc="04160003" w:tentative="1">
      <w:start w:val="1"/>
      <w:numFmt w:val="bullet"/>
      <w:lvlText w:val="o"/>
      <w:lvlJc w:val="left"/>
      <w:pPr>
        <w:ind w:left="513" w:hanging="360"/>
      </w:pPr>
      <w:rPr>
        <w:rFonts w:ascii="Courier New" w:hAnsi="Courier New" w:cs="Courier New" w:hint="default"/>
      </w:rPr>
    </w:lvl>
    <w:lvl w:ilvl="2" w:tplc="04160005" w:tentative="1">
      <w:start w:val="1"/>
      <w:numFmt w:val="bullet"/>
      <w:lvlText w:val=""/>
      <w:lvlJc w:val="left"/>
      <w:pPr>
        <w:ind w:left="1233" w:hanging="360"/>
      </w:pPr>
      <w:rPr>
        <w:rFonts w:ascii="Wingdings" w:hAnsi="Wingdings" w:hint="default"/>
      </w:rPr>
    </w:lvl>
    <w:lvl w:ilvl="3" w:tplc="04160001" w:tentative="1">
      <w:start w:val="1"/>
      <w:numFmt w:val="bullet"/>
      <w:lvlText w:val=""/>
      <w:lvlJc w:val="left"/>
      <w:pPr>
        <w:ind w:left="1953" w:hanging="360"/>
      </w:pPr>
      <w:rPr>
        <w:rFonts w:ascii="Symbol" w:hAnsi="Symbol" w:hint="default"/>
      </w:rPr>
    </w:lvl>
    <w:lvl w:ilvl="4" w:tplc="04160003" w:tentative="1">
      <w:start w:val="1"/>
      <w:numFmt w:val="bullet"/>
      <w:lvlText w:val="o"/>
      <w:lvlJc w:val="left"/>
      <w:pPr>
        <w:ind w:left="2673" w:hanging="360"/>
      </w:pPr>
      <w:rPr>
        <w:rFonts w:ascii="Courier New" w:hAnsi="Courier New" w:cs="Courier New" w:hint="default"/>
      </w:rPr>
    </w:lvl>
    <w:lvl w:ilvl="5" w:tplc="04160005" w:tentative="1">
      <w:start w:val="1"/>
      <w:numFmt w:val="bullet"/>
      <w:lvlText w:val=""/>
      <w:lvlJc w:val="left"/>
      <w:pPr>
        <w:ind w:left="3393" w:hanging="360"/>
      </w:pPr>
      <w:rPr>
        <w:rFonts w:ascii="Wingdings" w:hAnsi="Wingdings" w:hint="default"/>
      </w:rPr>
    </w:lvl>
    <w:lvl w:ilvl="6" w:tplc="04160001" w:tentative="1">
      <w:start w:val="1"/>
      <w:numFmt w:val="bullet"/>
      <w:lvlText w:val=""/>
      <w:lvlJc w:val="left"/>
      <w:pPr>
        <w:ind w:left="4113" w:hanging="360"/>
      </w:pPr>
      <w:rPr>
        <w:rFonts w:ascii="Symbol" w:hAnsi="Symbol" w:hint="default"/>
      </w:rPr>
    </w:lvl>
    <w:lvl w:ilvl="7" w:tplc="04160003" w:tentative="1">
      <w:start w:val="1"/>
      <w:numFmt w:val="bullet"/>
      <w:lvlText w:val="o"/>
      <w:lvlJc w:val="left"/>
      <w:pPr>
        <w:ind w:left="4833" w:hanging="360"/>
      </w:pPr>
      <w:rPr>
        <w:rFonts w:ascii="Courier New" w:hAnsi="Courier New" w:cs="Courier New" w:hint="default"/>
      </w:rPr>
    </w:lvl>
    <w:lvl w:ilvl="8" w:tplc="04160005" w:tentative="1">
      <w:start w:val="1"/>
      <w:numFmt w:val="bullet"/>
      <w:lvlText w:val=""/>
      <w:lvlJc w:val="left"/>
      <w:pPr>
        <w:ind w:left="5553" w:hanging="360"/>
      </w:pPr>
      <w:rPr>
        <w:rFonts w:ascii="Wingdings" w:hAnsi="Wingdings" w:hint="default"/>
      </w:rPr>
    </w:lvl>
  </w:abstractNum>
  <w:abstractNum w:abstractNumId="10" w15:restartNumberingAfterBreak="0">
    <w:nsid w:val="30DF1F44"/>
    <w:multiLevelType w:val="hybridMultilevel"/>
    <w:tmpl w:val="C90EBAE0"/>
    <w:lvl w:ilvl="0" w:tplc="8B2A47FA">
      <w:start w:val="3"/>
      <w:numFmt w:val="bullet"/>
      <w:lvlText w:val=""/>
      <w:lvlJc w:val="left"/>
      <w:pPr>
        <w:ind w:left="720" w:hanging="360"/>
      </w:pPr>
      <w:rPr>
        <w:rFonts w:ascii="Symbol" w:eastAsiaTheme="minorHAnsi" w:hAnsi="Symbol" w:cs="Calibr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31457039"/>
    <w:multiLevelType w:val="hybridMultilevel"/>
    <w:tmpl w:val="FCF2993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38F1409E"/>
    <w:multiLevelType w:val="hybridMultilevel"/>
    <w:tmpl w:val="D342341C"/>
    <w:lvl w:ilvl="0" w:tplc="4552BAE0">
      <w:start w:val="1"/>
      <w:numFmt w:val="lowerLetter"/>
      <w:lvlText w:val="%1."/>
      <w:lvlJc w:val="left"/>
      <w:pPr>
        <w:ind w:left="1065" w:hanging="70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C2D14FB"/>
    <w:multiLevelType w:val="hybridMultilevel"/>
    <w:tmpl w:val="484E59AE"/>
    <w:lvl w:ilvl="0" w:tplc="A2EE26E4">
      <w:numFmt w:val="bullet"/>
      <w:lvlText w:val=""/>
      <w:lvlJc w:val="left"/>
      <w:pPr>
        <w:ind w:left="720" w:hanging="360"/>
      </w:pPr>
      <w:rPr>
        <w:rFonts w:ascii="Symbol" w:eastAsiaTheme="minorHAnsi" w:hAnsi="Symbol" w:cs="Calibr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4E1F3448"/>
    <w:multiLevelType w:val="hybridMultilevel"/>
    <w:tmpl w:val="B4C8F2E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F8F75D1"/>
    <w:multiLevelType w:val="multilevel"/>
    <w:tmpl w:val="D81093F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2EC72FE"/>
    <w:multiLevelType w:val="hybridMultilevel"/>
    <w:tmpl w:val="7BFA9762"/>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586A1ABC"/>
    <w:multiLevelType w:val="multilevel"/>
    <w:tmpl w:val="445E57F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E041B45"/>
    <w:multiLevelType w:val="hybridMultilevel"/>
    <w:tmpl w:val="F0CC5A90"/>
    <w:lvl w:ilvl="0" w:tplc="D3A01F24">
      <w:start w:val="4"/>
      <w:numFmt w:val="bullet"/>
      <w:lvlText w:val=""/>
      <w:lvlJc w:val="left"/>
      <w:pPr>
        <w:ind w:left="720" w:hanging="360"/>
      </w:pPr>
      <w:rPr>
        <w:rFonts w:ascii="Symbol" w:eastAsiaTheme="minorHAnsi" w:hAnsi="Symbol" w:cs="Calibri" w:hint="default"/>
        <w:b w:val="0"/>
        <w:u w:val="none"/>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631B5CEC"/>
    <w:multiLevelType w:val="hybridMultilevel"/>
    <w:tmpl w:val="5FE66710"/>
    <w:lvl w:ilvl="0" w:tplc="5EE4BD0E">
      <w:start w:val="51"/>
      <w:numFmt w:val="bullet"/>
      <w:lvlText w:val=""/>
      <w:lvlJc w:val="left"/>
      <w:pPr>
        <w:ind w:left="720" w:hanging="360"/>
      </w:pPr>
      <w:rPr>
        <w:rFonts w:ascii="Wingdings" w:eastAsiaTheme="minorHAnsi" w:hAnsi="Wingdings" w:cs="Calibr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65F117F2"/>
    <w:multiLevelType w:val="multilevel"/>
    <w:tmpl w:val="CBD2E54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671560B6"/>
    <w:multiLevelType w:val="multilevel"/>
    <w:tmpl w:val="CBD2E54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676D09D2"/>
    <w:multiLevelType w:val="hybridMultilevel"/>
    <w:tmpl w:val="C51EB082"/>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5312C0B"/>
    <w:multiLevelType w:val="hybridMultilevel"/>
    <w:tmpl w:val="963E317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76695D92"/>
    <w:multiLevelType w:val="hybridMultilevel"/>
    <w:tmpl w:val="D01690E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7C2745B3"/>
    <w:multiLevelType w:val="multilevel"/>
    <w:tmpl w:val="445E57F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9"/>
  </w:num>
  <w:num w:numId="2">
    <w:abstractNumId w:val="19"/>
  </w:num>
  <w:num w:numId="3">
    <w:abstractNumId w:val="13"/>
  </w:num>
  <w:num w:numId="4">
    <w:abstractNumId w:val="20"/>
  </w:num>
  <w:num w:numId="5">
    <w:abstractNumId w:val="10"/>
  </w:num>
  <w:num w:numId="6">
    <w:abstractNumId w:val="21"/>
  </w:num>
  <w:num w:numId="7">
    <w:abstractNumId w:val="18"/>
  </w:num>
  <w:num w:numId="8">
    <w:abstractNumId w:val="7"/>
  </w:num>
  <w:num w:numId="9">
    <w:abstractNumId w:val="12"/>
  </w:num>
  <w:num w:numId="10">
    <w:abstractNumId w:val="17"/>
  </w:num>
  <w:num w:numId="11">
    <w:abstractNumId w:val="15"/>
  </w:num>
  <w:num w:numId="12">
    <w:abstractNumId w:val="14"/>
  </w:num>
  <w:num w:numId="13">
    <w:abstractNumId w:val="0"/>
  </w:num>
  <w:num w:numId="14">
    <w:abstractNumId w:val="11"/>
  </w:num>
  <w:num w:numId="15">
    <w:abstractNumId w:val="23"/>
  </w:num>
  <w:num w:numId="16">
    <w:abstractNumId w:val="3"/>
  </w:num>
  <w:num w:numId="17">
    <w:abstractNumId w:val="8"/>
  </w:num>
  <w:num w:numId="18">
    <w:abstractNumId w:val="5"/>
  </w:num>
  <w:num w:numId="19">
    <w:abstractNumId w:val="24"/>
  </w:num>
  <w:num w:numId="20">
    <w:abstractNumId w:val="6"/>
  </w:num>
  <w:num w:numId="21">
    <w:abstractNumId w:val="2"/>
  </w:num>
  <w:num w:numId="22">
    <w:abstractNumId w:val="16"/>
  </w:num>
  <w:num w:numId="23">
    <w:abstractNumId w:val="22"/>
  </w:num>
  <w:num w:numId="24">
    <w:abstractNumId w:val="25"/>
  </w:num>
  <w:num w:numId="25">
    <w:abstractNumId w:val="4"/>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3953"/>
    <w:rsid w:val="00020A88"/>
    <w:rsid w:val="000435E4"/>
    <w:rsid w:val="00044719"/>
    <w:rsid w:val="00071B92"/>
    <w:rsid w:val="00074E8F"/>
    <w:rsid w:val="00080F2D"/>
    <w:rsid w:val="00081C2F"/>
    <w:rsid w:val="0008793E"/>
    <w:rsid w:val="0009034C"/>
    <w:rsid w:val="00090597"/>
    <w:rsid w:val="00091EFC"/>
    <w:rsid w:val="00092967"/>
    <w:rsid w:val="000A0C86"/>
    <w:rsid w:val="000A4969"/>
    <w:rsid w:val="000A596D"/>
    <w:rsid w:val="000D7540"/>
    <w:rsid w:val="000E0A6E"/>
    <w:rsid w:val="000F36E0"/>
    <w:rsid w:val="000F73E6"/>
    <w:rsid w:val="00114C39"/>
    <w:rsid w:val="0011672B"/>
    <w:rsid w:val="00123465"/>
    <w:rsid w:val="001357D8"/>
    <w:rsid w:val="0014033F"/>
    <w:rsid w:val="00143A43"/>
    <w:rsid w:val="00144654"/>
    <w:rsid w:val="00145391"/>
    <w:rsid w:val="00151BA7"/>
    <w:rsid w:val="0015334E"/>
    <w:rsid w:val="001833AA"/>
    <w:rsid w:val="001837C5"/>
    <w:rsid w:val="00185A8A"/>
    <w:rsid w:val="001B77BE"/>
    <w:rsid w:val="001C42A9"/>
    <w:rsid w:val="001E012B"/>
    <w:rsid w:val="001E5C97"/>
    <w:rsid w:val="001F2FFC"/>
    <w:rsid w:val="00205EEF"/>
    <w:rsid w:val="00207529"/>
    <w:rsid w:val="00216EE0"/>
    <w:rsid w:val="00222C33"/>
    <w:rsid w:val="00231404"/>
    <w:rsid w:val="00234045"/>
    <w:rsid w:val="00234B18"/>
    <w:rsid w:val="00250D22"/>
    <w:rsid w:val="0025677F"/>
    <w:rsid w:val="00261FE4"/>
    <w:rsid w:val="00265767"/>
    <w:rsid w:val="0026694B"/>
    <w:rsid w:val="0026783A"/>
    <w:rsid w:val="00273DED"/>
    <w:rsid w:val="0028021A"/>
    <w:rsid w:val="002A38D3"/>
    <w:rsid w:val="002A4D5F"/>
    <w:rsid w:val="002B7E39"/>
    <w:rsid w:val="002C6846"/>
    <w:rsid w:val="002D093A"/>
    <w:rsid w:val="002D45E7"/>
    <w:rsid w:val="002E667A"/>
    <w:rsid w:val="0030798D"/>
    <w:rsid w:val="00313C55"/>
    <w:rsid w:val="00314555"/>
    <w:rsid w:val="00317601"/>
    <w:rsid w:val="00320A94"/>
    <w:rsid w:val="00320AA4"/>
    <w:rsid w:val="00321816"/>
    <w:rsid w:val="00323FED"/>
    <w:rsid w:val="0032478A"/>
    <w:rsid w:val="00326A1D"/>
    <w:rsid w:val="00326ECF"/>
    <w:rsid w:val="00331058"/>
    <w:rsid w:val="00331C3D"/>
    <w:rsid w:val="00343B58"/>
    <w:rsid w:val="003474D8"/>
    <w:rsid w:val="00350E15"/>
    <w:rsid w:val="0035113E"/>
    <w:rsid w:val="003524B0"/>
    <w:rsid w:val="00353591"/>
    <w:rsid w:val="00354259"/>
    <w:rsid w:val="00365BFB"/>
    <w:rsid w:val="0037263C"/>
    <w:rsid w:val="003733C6"/>
    <w:rsid w:val="003858DF"/>
    <w:rsid w:val="003919A0"/>
    <w:rsid w:val="003A0810"/>
    <w:rsid w:val="003A17C5"/>
    <w:rsid w:val="003A5E5D"/>
    <w:rsid w:val="003B11BE"/>
    <w:rsid w:val="003C07BE"/>
    <w:rsid w:val="003D6FB7"/>
    <w:rsid w:val="003D7269"/>
    <w:rsid w:val="003E2A44"/>
    <w:rsid w:val="003F513D"/>
    <w:rsid w:val="00400907"/>
    <w:rsid w:val="00403814"/>
    <w:rsid w:val="00406AC1"/>
    <w:rsid w:val="004142D5"/>
    <w:rsid w:val="00420C2B"/>
    <w:rsid w:val="00422F84"/>
    <w:rsid w:val="00431CA7"/>
    <w:rsid w:val="004352E8"/>
    <w:rsid w:val="00455FCF"/>
    <w:rsid w:val="004662BA"/>
    <w:rsid w:val="00483642"/>
    <w:rsid w:val="004A2BA1"/>
    <w:rsid w:val="004A723C"/>
    <w:rsid w:val="004B0A49"/>
    <w:rsid w:val="004B0EA3"/>
    <w:rsid w:val="004B7986"/>
    <w:rsid w:val="004C242A"/>
    <w:rsid w:val="004C4100"/>
    <w:rsid w:val="004E306B"/>
    <w:rsid w:val="004E6CF7"/>
    <w:rsid w:val="005067C0"/>
    <w:rsid w:val="0051199B"/>
    <w:rsid w:val="00513FA2"/>
    <w:rsid w:val="00513FE9"/>
    <w:rsid w:val="00515EC8"/>
    <w:rsid w:val="00515F56"/>
    <w:rsid w:val="005205D6"/>
    <w:rsid w:val="005366E7"/>
    <w:rsid w:val="005513DD"/>
    <w:rsid w:val="00562AFB"/>
    <w:rsid w:val="00564C5F"/>
    <w:rsid w:val="00572225"/>
    <w:rsid w:val="00573492"/>
    <w:rsid w:val="0058078E"/>
    <w:rsid w:val="00586AFE"/>
    <w:rsid w:val="005A71AE"/>
    <w:rsid w:val="005B42BC"/>
    <w:rsid w:val="005D2111"/>
    <w:rsid w:val="005D6381"/>
    <w:rsid w:val="005D643F"/>
    <w:rsid w:val="006000B2"/>
    <w:rsid w:val="0061559B"/>
    <w:rsid w:val="00631B97"/>
    <w:rsid w:val="006358A7"/>
    <w:rsid w:val="006542F7"/>
    <w:rsid w:val="00664B9A"/>
    <w:rsid w:val="006722F4"/>
    <w:rsid w:val="0067576E"/>
    <w:rsid w:val="00675994"/>
    <w:rsid w:val="006834BA"/>
    <w:rsid w:val="006873A3"/>
    <w:rsid w:val="00692816"/>
    <w:rsid w:val="006960C5"/>
    <w:rsid w:val="00696EE8"/>
    <w:rsid w:val="006A43D0"/>
    <w:rsid w:val="006B0FEE"/>
    <w:rsid w:val="006C0D2D"/>
    <w:rsid w:val="006E4353"/>
    <w:rsid w:val="006E604D"/>
    <w:rsid w:val="0070169B"/>
    <w:rsid w:val="0071353E"/>
    <w:rsid w:val="007208D8"/>
    <w:rsid w:val="00730083"/>
    <w:rsid w:val="007537B0"/>
    <w:rsid w:val="00761E96"/>
    <w:rsid w:val="00762167"/>
    <w:rsid w:val="00796525"/>
    <w:rsid w:val="007B05D9"/>
    <w:rsid w:val="007C44B1"/>
    <w:rsid w:val="007D6D81"/>
    <w:rsid w:val="007E2691"/>
    <w:rsid w:val="007F6CF4"/>
    <w:rsid w:val="00803646"/>
    <w:rsid w:val="0082499D"/>
    <w:rsid w:val="008265CE"/>
    <w:rsid w:val="0083651B"/>
    <w:rsid w:val="00840306"/>
    <w:rsid w:val="00840B67"/>
    <w:rsid w:val="008439BE"/>
    <w:rsid w:val="0085093A"/>
    <w:rsid w:val="00853F72"/>
    <w:rsid w:val="00854414"/>
    <w:rsid w:val="00867A0B"/>
    <w:rsid w:val="0087357F"/>
    <w:rsid w:val="00873953"/>
    <w:rsid w:val="0087433D"/>
    <w:rsid w:val="00874855"/>
    <w:rsid w:val="00877B59"/>
    <w:rsid w:val="0088066E"/>
    <w:rsid w:val="00886110"/>
    <w:rsid w:val="00894084"/>
    <w:rsid w:val="00894607"/>
    <w:rsid w:val="0089508C"/>
    <w:rsid w:val="008B16C6"/>
    <w:rsid w:val="008B6F67"/>
    <w:rsid w:val="008C6332"/>
    <w:rsid w:val="008E6923"/>
    <w:rsid w:val="008F764C"/>
    <w:rsid w:val="0091520B"/>
    <w:rsid w:val="00925F10"/>
    <w:rsid w:val="009447DB"/>
    <w:rsid w:val="0094588A"/>
    <w:rsid w:val="00965E72"/>
    <w:rsid w:val="009706CE"/>
    <w:rsid w:val="00977EA8"/>
    <w:rsid w:val="00981727"/>
    <w:rsid w:val="0099265A"/>
    <w:rsid w:val="009C6C75"/>
    <w:rsid w:val="009D0F6C"/>
    <w:rsid w:val="009E6B58"/>
    <w:rsid w:val="00A0330B"/>
    <w:rsid w:val="00A232F3"/>
    <w:rsid w:val="00A26978"/>
    <w:rsid w:val="00A45815"/>
    <w:rsid w:val="00A4600D"/>
    <w:rsid w:val="00A62B65"/>
    <w:rsid w:val="00A6753E"/>
    <w:rsid w:val="00A7534D"/>
    <w:rsid w:val="00A77021"/>
    <w:rsid w:val="00A80163"/>
    <w:rsid w:val="00A837FA"/>
    <w:rsid w:val="00A877D7"/>
    <w:rsid w:val="00AA1826"/>
    <w:rsid w:val="00AA663C"/>
    <w:rsid w:val="00AB00FD"/>
    <w:rsid w:val="00AB18AE"/>
    <w:rsid w:val="00AB25FC"/>
    <w:rsid w:val="00AB6272"/>
    <w:rsid w:val="00AC053A"/>
    <w:rsid w:val="00AC458A"/>
    <w:rsid w:val="00AD19B5"/>
    <w:rsid w:val="00AD3A66"/>
    <w:rsid w:val="00B03895"/>
    <w:rsid w:val="00B1167A"/>
    <w:rsid w:val="00B1539B"/>
    <w:rsid w:val="00B251E6"/>
    <w:rsid w:val="00B340E8"/>
    <w:rsid w:val="00B4027A"/>
    <w:rsid w:val="00B5049E"/>
    <w:rsid w:val="00B52561"/>
    <w:rsid w:val="00B67F0C"/>
    <w:rsid w:val="00B75FC3"/>
    <w:rsid w:val="00B80EC1"/>
    <w:rsid w:val="00B92452"/>
    <w:rsid w:val="00B92A8A"/>
    <w:rsid w:val="00B93086"/>
    <w:rsid w:val="00BA3D57"/>
    <w:rsid w:val="00BA3E7D"/>
    <w:rsid w:val="00BD41BD"/>
    <w:rsid w:val="00BD5BFC"/>
    <w:rsid w:val="00BD6E54"/>
    <w:rsid w:val="00BE3389"/>
    <w:rsid w:val="00BE387A"/>
    <w:rsid w:val="00C00FAA"/>
    <w:rsid w:val="00C10033"/>
    <w:rsid w:val="00C1217A"/>
    <w:rsid w:val="00C170A3"/>
    <w:rsid w:val="00C22775"/>
    <w:rsid w:val="00C37A87"/>
    <w:rsid w:val="00C403D8"/>
    <w:rsid w:val="00C54C77"/>
    <w:rsid w:val="00C5612D"/>
    <w:rsid w:val="00C67989"/>
    <w:rsid w:val="00C84D99"/>
    <w:rsid w:val="00C91884"/>
    <w:rsid w:val="00CA3715"/>
    <w:rsid w:val="00CB02B5"/>
    <w:rsid w:val="00CB30EC"/>
    <w:rsid w:val="00CC2D85"/>
    <w:rsid w:val="00CC6346"/>
    <w:rsid w:val="00CC78C0"/>
    <w:rsid w:val="00CC7BDC"/>
    <w:rsid w:val="00CD121C"/>
    <w:rsid w:val="00CD4AA1"/>
    <w:rsid w:val="00CD5BFE"/>
    <w:rsid w:val="00CE6A5E"/>
    <w:rsid w:val="00CF538A"/>
    <w:rsid w:val="00CF5B15"/>
    <w:rsid w:val="00D034B0"/>
    <w:rsid w:val="00D07AC5"/>
    <w:rsid w:val="00D12A1C"/>
    <w:rsid w:val="00D136E5"/>
    <w:rsid w:val="00D1514C"/>
    <w:rsid w:val="00D1599E"/>
    <w:rsid w:val="00D27A9F"/>
    <w:rsid w:val="00D35C71"/>
    <w:rsid w:val="00D37763"/>
    <w:rsid w:val="00D46F88"/>
    <w:rsid w:val="00D47C53"/>
    <w:rsid w:val="00D47D54"/>
    <w:rsid w:val="00D52D2F"/>
    <w:rsid w:val="00D54B45"/>
    <w:rsid w:val="00D64130"/>
    <w:rsid w:val="00D73F44"/>
    <w:rsid w:val="00DB075A"/>
    <w:rsid w:val="00DD34E4"/>
    <w:rsid w:val="00DE07AD"/>
    <w:rsid w:val="00DF270E"/>
    <w:rsid w:val="00E02D9E"/>
    <w:rsid w:val="00E03E13"/>
    <w:rsid w:val="00E06558"/>
    <w:rsid w:val="00E104F1"/>
    <w:rsid w:val="00E144AE"/>
    <w:rsid w:val="00E209A3"/>
    <w:rsid w:val="00E26E11"/>
    <w:rsid w:val="00E309A6"/>
    <w:rsid w:val="00E32F19"/>
    <w:rsid w:val="00E41A5F"/>
    <w:rsid w:val="00E566AE"/>
    <w:rsid w:val="00E61F7B"/>
    <w:rsid w:val="00E73B0D"/>
    <w:rsid w:val="00E75BE0"/>
    <w:rsid w:val="00E853F7"/>
    <w:rsid w:val="00E9758E"/>
    <w:rsid w:val="00E9763D"/>
    <w:rsid w:val="00EA3AD8"/>
    <w:rsid w:val="00EA5F45"/>
    <w:rsid w:val="00EA75CF"/>
    <w:rsid w:val="00EB75CF"/>
    <w:rsid w:val="00ED0F27"/>
    <w:rsid w:val="00ED51D8"/>
    <w:rsid w:val="00EF36CD"/>
    <w:rsid w:val="00F03CD7"/>
    <w:rsid w:val="00F337A8"/>
    <w:rsid w:val="00F44CFB"/>
    <w:rsid w:val="00F5558E"/>
    <w:rsid w:val="00F5611C"/>
    <w:rsid w:val="00F64634"/>
    <w:rsid w:val="00F84129"/>
    <w:rsid w:val="00F854B4"/>
    <w:rsid w:val="00F9131D"/>
    <w:rsid w:val="00FA2FCC"/>
    <w:rsid w:val="00FC0081"/>
    <w:rsid w:val="00FC623B"/>
    <w:rsid w:val="00FF001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4EC4F3"/>
  <w15:docId w15:val="{E08BFC6C-C9B3-48AB-95EC-5464D6A05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
    <w:qFormat/>
    <w:rsid w:val="0011672B"/>
    <w:pPr>
      <w:keepNext/>
      <w:keepLines/>
      <w:spacing w:before="480" w:after="0"/>
      <w:outlineLvl w:val="0"/>
    </w:pPr>
    <w:rPr>
      <w:rFonts w:ascii="Calibri" w:eastAsiaTheme="majorEastAsia" w:hAnsi="Calibri" w:cstheme="majorBidi"/>
      <w:b/>
      <w:bCs/>
      <w:color w:val="4B7B8A" w:themeColor="accent1" w:themeShade="BF"/>
      <w:sz w:val="24"/>
      <w:szCs w:val="28"/>
    </w:rPr>
  </w:style>
  <w:style w:type="paragraph" w:styleId="Ttulo2">
    <w:name w:val="heading 2"/>
    <w:basedOn w:val="Normal"/>
    <w:next w:val="Normal"/>
    <w:link w:val="Ttulo2Char"/>
    <w:autoRedefine/>
    <w:uiPriority w:val="9"/>
    <w:unhideWhenUsed/>
    <w:qFormat/>
    <w:rsid w:val="001837C5"/>
    <w:pPr>
      <w:keepNext/>
      <w:keepLines/>
      <w:spacing w:before="200" w:after="0"/>
      <w:outlineLvl w:val="1"/>
    </w:pPr>
    <w:rPr>
      <w:rFonts w:ascii="Calibri" w:eastAsiaTheme="majorEastAsia" w:hAnsi="Calibri" w:cstheme="majorBidi"/>
      <w:b/>
      <w:bCs/>
      <w:color w:val="6EA0B0" w:themeColor="accent1"/>
      <w:szCs w:val="26"/>
    </w:rPr>
  </w:style>
  <w:style w:type="paragraph" w:styleId="Ttulo3">
    <w:name w:val="heading 3"/>
    <w:basedOn w:val="Normal"/>
    <w:next w:val="Normal"/>
    <w:link w:val="Ttulo3Char"/>
    <w:uiPriority w:val="9"/>
    <w:unhideWhenUsed/>
    <w:qFormat/>
    <w:rsid w:val="001837C5"/>
    <w:pPr>
      <w:keepNext/>
      <w:keepLines/>
      <w:spacing w:before="200" w:after="0"/>
      <w:outlineLvl w:val="2"/>
    </w:pPr>
    <w:rPr>
      <w:rFonts w:ascii="Calibri" w:eastAsiaTheme="majorEastAsia" w:hAnsi="Calibri" w:cstheme="majorBidi"/>
      <w:b/>
      <w:bCs/>
      <w:color w:val="6EA0B0" w:themeColor="accent1"/>
    </w:rPr>
  </w:style>
  <w:style w:type="paragraph" w:styleId="Ttulo4">
    <w:name w:val="heading 4"/>
    <w:basedOn w:val="Normal"/>
    <w:next w:val="Normal"/>
    <w:link w:val="Ttulo4Char"/>
    <w:uiPriority w:val="9"/>
    <w:unhideWhenUsed/>
    <w:qFormat/>
    <w:rsid w:val="002E667A"/>
    <w:pPr>
      <w:keepNext/>
      <w:keepLines/>
      <w:spacing w:before="40" w:after="0"/>
      <w:outlineLvl w:val="3"/>
    </w:pPr>
    <w:rPr>
      <w:rFonts w:asciiTheme="majorHAnsi" w:eastAsiaTheme="majorEastAsia" w:hAnsiTheme="majorHAnsi" w:cstheme="majorBidi"/>
      <w:i/>
      <w:iCs/>
      <w:color w:val="4B7B8A"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link w:val="SemEspaamentoChar"/>
    <w:uiPriority w:val="1"/>
    <w:qFormat/>
    <w:rsid w:val="00873953"/>
    <w:pPr>
      <w:spacing w:after="0" w:line="240" w:lineRule="auto"/>
    </w:pPr>
    <w:rPr>
      <w:rFonts w:eastAsiaTheme="minorEastAsia"/>
      <w:lang w:eastAsia="pt-BR"/>
    </w:rPr>
  </w:style>
  <w:style w:type="character" w:customStyle="1" w:styleId="SemEspaamentoChar">
    <w:name w:val="Sem Espaçamento Char"/>
    <w:basedOn w:val="Fontepargpadro"/>
    <w:link w:val="SemEspaamento"/>
    <w:uiPriority w:val="1"/>
    <w:rsid w:val="00873953"/>
    <w:rPr>
      <w:rFonts w:eastAsiaTheme="minorEastAsia"/>
      <w:lang w:eastAsia="pt-BR"/>
    </w:rPr>
  </w:style>
  <w:style w:type="paragraph" w:styleId="Textodebalo">
    <w:name w:val="Balloon Text"/>
    <w:basedOn w:val="Normal"/>
    <w:link w:val="TextodebaloChar"/>
    <w:uiPriority w:val="99"/>
    <w:semiHidden/>
    <w:unhideWhenUsed/>
    <w:rsid w:val="0087395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73953"/>
    <w:rPr>
      <w:rFonts w:ascii="Tahoma" w:hAnsi="Tahoma" w:cs="Tahoma"/>
      <w:sz w:val="16"/>
      <w:szCs w:val="16"/>
    </w:rPr>
  </w:style>
  <w:style w:type="paragraph" w:styleId="Cabealho">
    <w:name w:val="header"/>
    <w:basedOn w:val="Normal"/>
    <w:link w:val="CabealhoChar"/>
    <w:uiPriority w:val="99"/>
    <w:unhideWhenUsed/>
    <w:rsid w:val="006722F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722F4"/>
  </w:style>
  <w:style w:type="paragraph" w:styleId="Rodap">
    <w:name w:val="footer"/>
    <w:basedOn w:val="Normal"/>
    <w:link w:val="RodapChar"/>
    <w:uiPriority w:val="99"/>
    <w:unhideWhenUsed/>
    <w:rsid w:val="006722F4"/>
    <w:pPr>
      <w:tabs>
        <w:tab w:val="center" w:pos="4252"/>
        <w:tab w:val="right" w:pos="8504"/>
      </w:tabs>
      <w:spacing w:after="0" w:line="240" w:lineRule="auto"/>
    </w:pPr>
  </w:style>
  <w:style w:type="character" w:customStyle="1" w:styleId="RodapChar">
    <w:name w:val="Rodapé Char"/>
    <w:basedOn w:val="Fontepargpadro"/>
    <w:link w:val="Rodap"/>
    <w:uiPriority w:val="99"/>
    <w:rsid w:val="006722F4"/>
  </w:style>
  <w:style w:type="character" w:styleId="Hyperlink">
    <w:name w:val="Hyperlink"/>
    <w:basedOn w:val="Fontepargpadro"/>
    <w:uiPriority w:val="99"/>
    <w:unhideWhenUsed/>
    <w:rsid w:val="006722F4"/>
    <w:rPr>
      <w:color w:val="00C8C3" w:themeColor="hyperlink"/>
      <w:u w:val="single"/>
    </w:rPr>
  </w:style>
  <w:style w:type="paragraph" w:styleId="PargrafodaLista">
    <w:name w:val="List Paragraph"/>
    <w:basedOn w:val="Normal"/>
    <w:uiPriority w:val="34"/>
    <w:qFormat/>
    <w:rsid w:val="00BE3389"/>
    <w:pPr>
      <w:spacing w:after="160" w:line="259" w:lineRule="auto"/>
      <w:ind w:left="720"/>
      <w:contextualSpacing/>
    </w:pPr>
  </w:style>
  <w:style w:type="character" w:customStyle="1" w:styleId="Ttulo1Char">
    <w:name w:val="Título 1 Char"/>
    <w:basedOn w:val="Fontepargpadro"/>
    <w:link w:val="Ttulo1"/>
    <w:uiPriority w:val="9"/>
    <w:rsid w:val="0011672B"/>
    <w:rPr>
      <w:rFonts w:ascii="Calibri" w:eastAsiaTheme="majorEastAsia" w:hAnsi="Calibri" w:cstheme="majorBidi"/>
      <w:b/>
      <w:bCs/>
      <w:color w:val="4B7B8A" w:themeColor="accent1" w:themeShade="BF"/>
      <w:sz w:val="24"/>
      <w:szCs w:val="28"/>
    </w:rPr>
  </w:style>
  <w:style w:type="paragraph" w:styleId="CabealhodoSumrio">
    <w:name w:val="TOC Heading"/>
    <w:basedOn w:val="Ttulo1"/>
    <w:next w:val="Normal"/>
    <w:uiPriority w:val="39"/>
    <w:semiHidden/>
    <w:unhideWhenUsed/>
    <w:qFormat/>
    <w:rsid w:val="0011672B"/>
    <w:pPr>
      <w:outlineLvl w:val="9"/>
    </w:pPr>
    <w:rPr>
      <w:lang w:eastAsia="pt-BR"/>
    </w:rPr>
  </w:style>
  <w:style w:type="paragraph" w:styleId="Sumrio1">
    <w:name w:val="toc 1"/>
    <w:basedOn w:val="Normal"/>
    <w:next w:val="Normal"/>
    <w:autoRedefine/>
    <w:uiPriority w:val="39"/>
    <w:unhideWhenUsed/>
    <w:rsid w:val="0011672B"/>
    <w:pPr>
      <w:spacing w:after="100"/>
    </w:pPr>
  </w:style>
  <w:style w:type="character" w:customStyle="1" w:styleId="Ttulo2Char">
    <w:name w:val="Título 2 Char"/>
    <w:basedOn w:val="Fontepargpadro"/>
    <w:link w:val="Ttulo2"/>
    <w:uiPriority w:val="9"/>
    <w:rsid w:val="001837C5"/>
    <w:rPr>
      <w:rFonts w:ascii="Calibri" w:eastAsiaTheme="majorEastAsia" w:hAnsi="Calibri" w:cstheme="majorBidi"/>
      <w:b/>
      <w:bCs/>
      <w:color w:val="6EA0B0" w:themeColor="accent1"/>
      <w:szCs w:val="26"/>
    </w:rPr>
  </w:style>
  <w:style w:type="character" w:customStyle="1" w:styleId="Ttulo3Char">
    <w:name w:val="Título 3 Char"/>
    <w:basedOn w:val="Fontepargpadro"/>
    <w:link w:val="Ttulo3"/>
    <w:uiPriority w:val="9"/>
    <w:rsid w:val="001837C5"/>
    <w:rPr>
      <w:rFonts w:ascii="Calibri" w:eastAsiaTheme="majorEastAsia" w:hAnsi="Calibri" w:cstheme="majorBidi"/>
      <w:b/>
      <w:bCs/>
      <w:color w:val="6EA0B0" w:themeColor="accent1"/>
    </w:rPr>
  </w:style>
  <w:style w:type="paragraph" w:styleId="Sumrio2">
    <w:name w:val="toc 2"/>
    <w:basedOn w:val="Normal"/>
    <w:next w:val="Normal"/>
    <w:autoRedefine/>
    <w:uiPriority w:val="39"/>
    <w:unhideWhenUsed/>
    <w:rsid w:val="006A43D0"/>
    <w:pPr>
      <w:spacing w:after="100"/>
      <w:ind w:left="220"/>
    </w:pPr>
  </w:style>
  <w:style w:type="paragraph" w:styleId="Sumrio3">
    <w:name w:val="toc 3"/>
    <w:basedOn w:val="Normal"/>
    <w:next w:val="Normal"/>
    <w:autoRedefine/>
    <w:uiPriority w:val="39"/>
    <w:unhideWhenUsed/>
    <w:rsid w:val="006A43D0"/>
    <w:pPr>
      <w:spacing w:after="100"/>
      <w:ind w:left="440"/>
    </w:pPr>
  </w:style>
  <w:style w:type="character" w:customStyle="1" w:styleId="Ttulo4Char">
    <w:name w:val="Título 4 Char"/>
    <w:basedOn w:val="Fontepargpadro"/>
    <w:link w:val="Ttulo4"/>
    <w:uiPriority w:val="9"/>
    <w:rsid w:val="002E667A"/>
    <w:rPr>
      <w:rFonts w:asciiTheme="majorHAnsi" w:eastAsiaTheme="majorEastAsia" w:hAnsiTheme="majorHAnsi" w:cstheme="majorBidi"/>
      <w:i/>
      <w:iCs/>
      <w:color w:val="4B7B8A"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2581339">
      <w:bodyDiv w:val="1"/>
      <w:marLeft w:val="0"/>
      <w:marRight w:val="0"/>
      <w:marTop w:val="0"/>
      <w:marBottom w:val="0"/>
      <w:divBdr>
        <w:top w:val="none" w:sz="0" w:space="0" w:color="auto"/>
        <w:left w:val="none" w:sz="0" w:space="0" w:color="auto"/>
        <w:bottom w:val="none" w:sz="0" w:space="0" w:color="auto"/>
        <w:right w:val="none" w:sz="0" w:space="0" w:color="auto"/>
      </w:divBdr>
    </w:div>
    <w:div w:id="1243492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7.emf"/><Relationship Id="rId3" Type="http://schemas.openxmlformats.org/officeDocument/2006/relationships/numbering" Target="numbering.xml"/><Relationship Id="rId21" Type="http://schemas.openxmlformats.org/officeDocument/2006/relationships/image" Target="media/image12.emf"/><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6.emf"/><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image" Target="media/image11.emf"/><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image" Target="media/image15.emf"/><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image" Target="media/image14.emf"/><Relationship Id="rId28"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image" Target="media/image10.png"/><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gif"/><Relationship Id="rId14" Type="http://schemas.openxmlformats.org/officeDocument/2006/relationships/image" Target="media/image5.png"/><Relationship Id="rId22" Type="http://schemas.openxmlformats.org/officeDocument/2006/relationships/image" Target="media/image13.emf"/><Relationship Id="rId27" Type="http://schemas.openxmlformats.org/officeDocument/2006/relationships/image" Target="media/image18.png"/><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9.png"/></Relationships>
</file>

<file path=word/theme/theme1.xml><?xml version="1.0" encoding="utf-8"?>
<a:theme xmlns:a="http://schemas.openxmlformats.org/drawingml/2006/main" name="Técnica">
  <a:themeElements>
    <a:clrScheme name="Técnica">
      <a:dk1>
        <a:sysClr val="windowText" lastClr="000000"/>
      </a:dk1>
      <a:lt1>
        <a:sysClr val="window" lastClr="FFFFFF"/>
      </a:lt1>
      <a:dk2>
        <a:srgbClr val="3B3B3B"/>
      </a:dk2>
      <a:lt2>
        <a:srgbClr val="D4D2D0"/>
      </a:lt2>
      <a:accent1>
        <a:srgbClr val="6EA0B0"/>
      </a:accent1>
      <a:accent2>
        <a:srgbClr val="CCAF0A"/>
      </a:accent2>
      <a:accent3>
        <a:srgbClr val="8D89A4"/>
      </a:accent3>
      <a:accent4>
        <a:srgbClr val="748560"/>
      </a:accent4>
      <a:accent5>
        <a:srgbClr val="9E9273"/>
      </a:accent5>
      <a:accent6>
        <a:srgbClr val="7E848D"/>
      </a:accent6>
      <a:hlink>
        <a:srgbClr val="00C8C3"/>
      </a:hlink>
      <a:folHlink>
        <a:srgbClr val="A116E0"/>
      </a:folHlink>
    </a:clrScheme>
    <a:fontScheme name="Técnica">
      <a:majorFont>
        <a:latin typeface="Franklin Gothic Book"/>
        <a:ea typeface=""/>
        <a:cs typeface=""/>
        <a:font script="Jpan" typeface="ＭＳ Ｐゴシック"/>
        <a:font script="Hang" typeface="HY견고딕"/>
        <a:font script="Hans" typeface="宋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HGｺﾞｼｯｸM"/>
        <a:font script="Hang" typeface="HY중고딕"/>
        <a:font script="Hans" typeface="黑体"/>
        <a:font script="Hant" typeface="微軟正黑體"/>
        <a:font script="Arab" typeface="Tahoma"/>
        <a:font script="Hebr" typeface="Levenim MT"/>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Composto">
      <a:fillStyleLst>
        <a:solidFill>
          <a:schemeClr val="phClr"/>
        </a:solidFill>
        <a:gradFill rotWithShape="1">
          <a:gsLst>
            <a:gs pos="0">
              <a:schemeClr val="phClr">
                <a:tint val="50000"/>
                <a:shade val="95000"/>
                <a:satMod val="300000"/>
              </a:schemeClr>
            </a:gs>
            <a:gs pos="12000">
              <a:schemeClr val="phClr">
                <a:tint val="50000"/>
                <a:shade val="90000"/>
                <a:satMod val="250000"/>
              </a:schemeClr>
            </a:gs>
            <a:gs pos="100000">
              <a:schemeClr val="phClr">
                <a:tint val="85000"/>
                <a:shade val="75000"/>
                <a:satMod val="150000"/>
              </a:schemeClr>
            </a:gs>
          </a:gsLst>
          <a:lin ang="16200000" scaled="1"/>
        </a:gradFill>
        <a:gradFill rotWithShape="1">
          <a:gsLst>
            <a:gs pos="0">
              <a:schemeClr val="phClr">
                <a:tint val="75000"/>
                <a:shade val="95000"/>
                <a:satMod val="175000"/>
              </a:schemeClr>
            </a:gs>
            <a:gs pos="12000">
              <a:schemeClr val="phClr">
                <a:tint val="90000"/>
                <a:shade val="90000"/>
                <a:satMod val="150000"/>
              </a:schemeClr>
            </a:gs>
            <a:gs pos="100000">
              <a:schemeClr val="phClr">
                <a:tint val="100000"/>
                <a:shade val="75000"/>
                <a:satMod val="150000"/>
              </a:schemeClr>
            </a:gs>
          </a:gsLst>
          <a:lin ang="16200000" scaled="1"/>
        </a:gradFill>
      </a:fillStyleLst>
      <a:lnStyleLst>
        <a:ln w="9525" cap="flat" cmpd="sng" algn="ctr">
          <a:solidFill>
            <a:schemeClr val="phClr">
              <a:shade val="95000"/>
              <a:satMod val="105000"/>
            </a:schemeClr>
          </a:solidFill>
          <a:prstDash val="solid"/>
        </a:ln>
        <a:ln w="15875" cap="flat" cmpd="sng" algn="ctr">
          <a:solidFill>
            <a:schemeClr val="phClr"/>
          </a:solidFill>
          <a:prstDash val="solid"/>
        </a:ln>
        <a:ln w="254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scene3d>
            <a:camera prst="orthographicFront">
              <a:rot lat="0" lon="0" rev="0"/>
            </a:camera>
            <a:lightRig rig="freezing" dir="t">
              <a:rot lat="0" lon="0" rev="6000000"/>
            </a:lightRig>
          </a:scene3d>
          <a:sp3d contourW="12700" prstMaterial="dkEdge">
            <a:bevelT w="44450" h="25400"/>
            <a:contourClr>
              <a:schemeClr val="phClr">
                <a:shade val="30000"/>
              </a:schemeClr>
            </a:contourClr>
          </a:sp3d>
        </a:effectStyle>
      </a:effectStyleLst>
      <a:bgFillStyleLst>
        <a:solidFill>
          <a:schemeClr val="phClr"/>
        </a:solidFill>
        <a:gradFill rotWithShape="1">
          <a:gsLst>
            <a:gs pos="0">
              <a:schemeClr val="phClr">
                <a:shade val="40000"/>
                <a:satMod val="150000"/>
              </a:schemeClr>
            </a:gs>
            <a:gs pos="30000">
              <a:schemeClr val="phClr">
                <a:shade val="60000"/>
                <a:satMod val="150000"/>
              </a:schemeClr>
            </a:gs>
            <a:gs pos="100000">
              <a:schemeClr val="phClr">
                <a:tint val="83000"/>
                <a:satMod val="200000"/>
              </a:schemeClr>
            </a:gs>
          </a:gsLst>
          <a:lin ang="13000000" scaled="0"/>
        </a:gradFill>
        <a:gradFill rotWithShape="1">
          <a:gsLst>
            <a:gs pos="0">
              <a:schemeClr val="phClr">
                <a:tint val="78000"/>
                <a:satMod val="220000"/>
              </a:schemeClr>
            </a:gs>
            <a:gs pos="100000">
              <a:schemeClr val="phClr">
                <a:shade val="35000"/>
                <a:satMod val="155000"/>
              </a:schemeClr>
            </a:gs>
          </a:gsLst>
          <a:path path="circle">
            <a:fillToRect l="60000" t="50000" r="4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2025</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EA86726-0BD5-49BE-A5EC-F2DF7381EA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1088</TotalTime>
  <Pages>1</Pages>
  <Words>6993</Words>
  <Characters>37765</Characters>
  <Application>Microsoft Office Word</Application>
  <DocSecurity>0</DocSecurity>
  <Lines>314</Lines>
  <Paragraphs>89</Paragraphs>
  <ScaleCrop>false</ScaleCrop>
  <HeadingPairs>
    <vt:vector size="2" baseType="variant">
      <vt:variant>
        <vt:lpstr>Título</vt:lpstr>
      </vt:variant>
      <vt:variant>
        <vt:i4>1</vt:i4>
      </vt:variant>
    </vt:vector>
  </HeadingPairs>
  <TitlesOfParts>
    <vt:vector size="1" baseType="lpstr">
      <vt:lpstr>POLÍTICA DE INVESTIMENTOS</vt:lpstr>
    </vt:vector>
  </TitlesOfParts>
  <Company>Fundo de Regime Próprio de Previdência Social de Santa Maria do Herval/RS</Company>
  <LinksUpToDate>false</LinksUpToDate>
  <CharactersWithSpaces>44669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POLÍTICA DE INVESTIMENTOS</dc:title>
  <dc:creator>Leonel Garcia</dc:creator>
  <cp:lastModifiedBy>User</cp:lastModifiedBy>
  <cp:revision>52</cp:revision>
  <cp:lastPrinted>2024-11-05T13:13:00Z</cp:lastPrinted>
  <dcterms:created xsi:type="dcterms:W3CDTF">2022-11-23T16:44:00Z</dcterms:created>
  <dcterms:modified xsi:type="dcterms:W3CDTF">2024-11-19T18:35:00Z</dcterms:modified>
</cp:coreProperties>
</file>